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CA6B" w14:textId="77777777" w:rsidR="00542F49" w:rsidRPr="009424C5" w:rsidRDefault="00AF5AD4" w:rsidP="00542F49">
      <w:pPr>
        <w:spacing w:line="480" w:lineRule="auto"/>
        <w:jc w:val="center"/>
        <w:rPr>
          <w:rFonts w:ascii="Times New Roman" w:hAnsi="Times New Roman" w:cs="Times New Roman"/>
          <w:b/>
          <w:lang w:val="en-GB"/>
        </w:rPr>
      </w:pPr>
      <w:r w:rsidRPr="00D63655">
        <w:rPr>
          <w:rFonts w:ascii="Times New Roman" w:hAnsi="Times New Roman" w:cs="Times New Roman"/>
          <w:u w:val="single"/>
          <w:lang w:val="en-US"/>
        </w:rPr>
        <w:br/>
      </w:r>
    </w:p>
    <w:p w14:paraId="438E459C" w14:textId="35150014" w:rsidR="00542F49" w:rsidRPr="00D63655" w:rsidRDefault="00542F49" w:rsidP="00542F49">
      <w:pPr>
        <w:spacing w:line="480" w:lineRule="auto"/>
        <w:jc w:val="center"/>
        <w:rPr>
          <w:rFonts w:ascii="Times New Roman" w:hAnsi="Times New Roman" w:cs="Times New Roman"/>
          <w:b/>
          <w:lang w:val="en-US"/>
        </w:rPr>
      </w:pPr>
      <w:r w:rsidRPr="00D63655">
        <w:rPr>
          <w:rFonts w:ascii="Times New Roman" w:hAnsi="Times New Roman" w:cs="Times New Roman"/>
          <w:b/>
          <w:lang w:val="en-GB"/>
        </w:rPr>
        <w:t xml:space="preserve">The 2019 EP Election in Denmark: </w:t>
      </w:r>
      <w:r w:rsidR="000D7C97" w:rsidRPr="00D63655">
        <w:rPr>
          <w:rFonts w:ascii="Times New Roman" w:hAnsi="Times New Roman" w:cs="Times New Roman"/>
          <w:b/>
          <w:lang w:val="en-GB"/>
        </w:rPr>
        <w:t xml:space="preserve">A European </w:t>
      </w:r>
      <w:r w:rsidR="00D63655">
        <w:rPr>
          <w:rFonts w:ascii="Times New Roman" w:hAnsi="Times New Roman" w:cs="Times New Roman"/>
          <w:b/>
          <w:lang w:val="en-GB"/>
        </w:rPr>
        <w:t xml:space="preserve">Election </w:t>
      </w:r>
      <w:r w:rsidR="000D7C97" w:rsidRPr="00D63655">
        <w:rPr>
          <w:rFonts w:ascii="Times New Roman" w:hAnsi="Times New Roman" w:cs="Times New Roman"/>
          <w:b/>
          <w:lang w:val="en-GB"/>
        </w:rPr>
        <w:t>within a National Contest</w:t>
      </w:r>
    </w:p>
    <w:p w14:paraId="44114A3D" w14:textId="77777777" w:rsidR="00542F49" w:rsidRPr="009424C5" w:rsidRDefault="00542F49" w:rsidP="00542F49">
      <w:pPr>
        <w:spacing w:line="480" w:lineRule="auto"/>
        <w:jc w:val="both"/>
        <w:rPr>
          <w:rFonts w:ascii="Times New Roman" w:hAnsi="Times New Roman" w:cs="Times New Roman"/>
          <w:i/>
          <w:lang w:val="en-US"/>
        </w:rPr>
      </w:pPr>
    </w:p>
    <w:p w14:paraId="6659D475" w14:textId="77777777" w:rsidR="00542F49" w:rsidRPr="006B5D17" w:rsidRDefault="00542F49" w:rsidP="00542F49">
      <w:pPr>
        <w:spacing w:line="480" w:lineRule="auto"/>
        <w:jc w:val="center"/>
        <w:rPr>
          <w:rFonts w:ascii="Times New Roman" w:hAnsi="Times New Roman" w:cs="Times New Roman"/>
          <w:i/>
          <w:lang w:val="en-US"/>
        </w:rPr>
      </w:pPr>
    </w:p>
    <w:p w14:paraId="603F45A5" w14:textId="485D5026" w:rsidR="00306E06" w:rsidRPr="00306E06" w:rsidRDefault="00306E06" w:rsidP="00306E06">
      <w:pPr>
        <w:spacing w:line="480" w:lineRule="auto"/>
        <w:jc w:val="center"/>
        <w:rPr>
          <w:rFonts w:ascii="Times New Roman" w:eastAsia="Times New Roman" w:hAnsi="Times New Roman" w:cs="Times New Roman"/>
          <w:i/>
          <w:lang w:val="en-US"/>
        </w:rPr>
      </w:pPr>
      <w:r w:rsidRPr="006B5D17">
        <w:rPr>
          <w:rFonts w:ascii="Times New Roman" w:hAnsi="Times New Roman" w:cs="Times New Roman"/>
          <w:i/>
          <w:lang w:val="en-US"/>
        </w:rPr>
        <w:t>Henrik Bech Seeberg (Department of Political Science, Aarhus University)</w:t>
      </w:r>
    </w:p>
    <w:p w14:paraId="610621F7" w14:textId="5977B3F3" w:rsidR="006B5D17" w:rsidRPr="009E0371" w:rsidRDefault="006B5D17" w:rsidP="006B5D17">
      <w:pPr>
        <w:spacing w:line="480" w:lineRule="auto"/>
        <w:jc w:val="center"/>
        <w:rPr>
          <w:rFonts w:ascii="Times New Roman" w:hAnsi="Times New Roman" w:cs="Times New Roman"/>
          <w:i/>
          <w:lang w:val="en-US"/>
        </w:rPr>
      </w:pPr>
      <w:r w:rsidRPr="009E0371">
        <w:rPr>
          <w:rFonts w:ascii="Times New Roman" w:hAnsi="Times New Roman" w:cs="Times New Roman"/>
          <w:i/>
          <w:lang w:val="en-US"/>
        </w:rPr>
        <w:t>James Wilhelm (Vienna Center for Electoral Research, University of Vienna)</w:t>
      </w:r>
    </w:p>
    <w:p w14:paraId="31065C60" w14:textId="77777777" w:rsidR="00542F49" w:rsidRPr="009424C5" w:rsidRDefault="00542F49" w:rsidP="00306E06">
      <w:pPr>
        <w:pStyle w:val="Listeafsnit"/>
        <w:spacing w:line="480" w:lineRule="auto"/>
        <w:ind w:left="0"/>
        <w:contextualSpacing w:val="0"/>
        <w:rPr>
          <w:rFonts w:ascii="Times New Roman" w:hAnsi="Times New Roman" w:cs="Times New Roman"/>
          <w:b/>
          <w:lang w:val="en-US"/>
        </w:rPr>
      </w:pPr>
    </w:p>
    <w:p w14:paraId="5C129FDF" w14:textId="77777777" w:rsidR="00542F49" w:rsidRPr="009424C5" w:rsidRDefault="00542F49" w:rsidP="00542F49">
      <w:pPr>
        <w:pStyle w:val="Listeafsnit"/>
        <w:spacing w:line="480" w:lineRule="auto"/>
        <w:ind w:left="0"/>
        <w:contextualSpacing w:val="0"/>
        <w:jc w:val="center"/>
        <w:rPr>
          <w:rFonts w:ascii="Times New Roman" w:hAnsi="Times New Roman" w:cs="Times New Roman"/>
          <w:b/>
          <w:lang w:val="en-US"/>
        </w:rPr>
      </w:pPr>
    </w:p>
    <w:p w14:paraId="518C1569" w14:textId="60BCFAA7" w:rsidR="00542F49" w:rsidRDefault="00542F49" w:rsidP="00542F49">
      <w:pPr>
        <w:spacing w:line="480" w:lineRule="auto"/>
        <w:jc w:val="center"/>
        <w:rPr>
          <w:rFonts w:ascii="Times New Roman" w:hAnsi="Times New Roman" w:cs="Times New Roman"/>
          <w:i/>
        </w:rPr>
      </w:pPr>
      <w:r w:rsidRPr="009424C5">
        <w:rPr>
          <w:rFonts w:ascii="Times New Roman" w:hAnsi="Times New Roman" w:cs="Times New Roman"/>
          <w:i/>
        </w:rPr>
        <w:t xml:space="preserve">Version: </w:t>
      </w:r>
      <w:r w:rsidRPr="009424C5">
        <w:rPr>
          <w:rFonts w:ascii="Times New Roman" w:hAnsi="Times New Roman" w:cs="Times New Roman"/>
          <w:i/>
        </w:rPr>
        <w:fldChar w:fldCharType="begin"/>
      </w:r>
      <w:r w:rsidRPr="009424C5">
        <w:rPr>
          <w:rFonts w:ascii="Times New Roman" w:hAnsi="Times New Roman" w:cs="Times New Roman"/>
          <w:i/>
        </w:rPr>
        <w:instrText xml:space="preserve"> DATE \@ "d MMMM yyyy" </w:instrText>
      </w:r>
      <w:r w:rsidRPr="009424C5">
        <w:rPr>
          <w:rFonts w:ascii="Times New Roman" w:hAnsi="Times New Roman" w:cs="Times New Roman"/>
          <w:i/>
        </w:rPr>
        <w:fldChar w:fldCharType="separate"/>
      </w:r>
      <w:r w:rsidR="00825CEC">
        <w:rPr>
          <w:rFonts w:ascii="Times New Roman" w:hAnsi="Times New Roman" w:cs="Times New Roman"/>
          <w:i/>
          <w:noProof/>
        </w:rPr>
        <w:t>26 Dec</w:t>
      </w:r>
      <w:r w:rsidR="00825CEC">
        <w:rPr>
          <w:rFonts w:ascii="Times New Roman" w:hAnsi="Times New Roman" w:cs="Times New Roman"/>
          <w:i/>
          <w:noProof/>
        </w:rPr>
        <w:t>ember 2019</w:t>
      </w:r>
      <w:r w:rsidRPr="009424C5">
        <w:rPr>
          <w:rFonts w:ascii="Times New Roman" w:hAnsi="Times New Roman" w:cs="Times New Roman"/>
          <w:i/>
        </w:rPr>
        <w:fldChar w:fldCharType="end"/>
      </w:r>
    </w:p>
    <w:p w14:paraId="4CE8BFC5" w14:textId="70662EDF" w:rsidR="00927C55" w:rsidRDefault="00927C55" w:rsidP="00542F49">
      <w:pPr>
        <w:spacing w:line="480" w:lineRule="auto"/>
        <w:jc w:val="center"/>
        <w:rPr>
          <w:rFonts w:ascii="Times New Roman" w:hAnsi="Times New Roman" w:cs="Times New Roman"/>
          <w:i/>
        </w:rPr>
      </w:pPr>
    </w:p>
    <w:p w14:paraId="1B211334" w14:textId="351BBBB3" w:rsidR="00927C55" w:rsidRPr="00927C55" w:rsidRDefault="00927C55" w:rsidP="00542F49">
      <w:pPr>
        <w:spacing w:line="480" w:lineRule="auto"/>
        <w:jc w:val="center"/>
        <w:rPr>
          <w:rFonts w:ascii="Times New Roman" w:hAnsi="Times New Roman" w:cs="Times New Roman"/>
          <w:i/>
        </w:rPr>
      </w:pPr>
      <w:bookmarkStart w:id="0" w:name="_GoBack"/>
      <w:r w:rsidRPr="00927C55">
        <w:rPr>
          <w:rFonts w:ascii="Times New Roman" w:hAnsi="Times New Roman" w:cs="Times New Roman"/>
          <w:i/>
        </w:rPr>
        <w:t xml:space="preserve">Book </w:t>
      </w:r>
      <w:proofErr w:type="spellStart"/>
      <w:r w:rsidRPr="00927C55">
        <w:rPr>
          <w:rFonts w:ascii="Times New Roman" w:hAnsi="Times New Roman" w:cs="Times New Roman"/>
          <w:i/>
        </w:rPr>
        <w:t>chapter</w:t>
      </w:r>
      <w:proofErr w:type="spellEnd"/>
      <w:r w:rsidRPr="00927C55">
        <w:rPr>
          <w:rFonts w:ascii="Times New Roman" w:hAnsi="Times New Roman" w:cs="Times New Roman"/>
          <w:i/>
        </w:rPr>
        <w:t xml:space="preserve"> </w:t>
      </w:r>
      <w:proofErr w:type="spellStart"/>
      <w:r w:rsidRPr="00927C55">
        <w:rPr>
          <w:rFonts w:ascii="Times New Roman" w:hAnsi="Times New Roman" w:cs="Times New Roman"/>
          <w:i/>
        </w:rPr>
        <w:t>for</w:t>
      </w:r>
      <w:proofErr w:type="spellEnd"/>
      <w:r w:rsidRPr="00927C55">
        <w:rPr>
          <w:rFonts w:ascii="Times New Roman" w:hAnsi="Times New Roman" w:cs="Times New Roman"/>
          <w:i/>
        </w:rPr>
        <w:t xml:space="preserve"> </w:t>
      </w:r>
      <w:r>
        <w:rPr>
          <w:rFonts w:ascii="Times New Roman" w:eastAsia="Times New Roman" w:hAnsi="Times New Roman" w:cs="Times New Roman"/>
          <w:bCs/>
          <w:i/>
          <w:color w:val="000000"/>
        </w:rPr>
        <w:t>“</w:t>
      </w:r>
      <w:proofErr w:type="spellStart"/>
      <w:r>
        <w:rPr>
          <w:rFonts w:ascii="Times New Roman" w:eastAsia="Times New Roman" w:hAnsi="Times New Roman" w:cs="Times New Roman"/>
          <w:bCs/>
          <w:i/>
          <w:color w:val="000000"/>
        </w:rPr>
        <w:t>A</w:t>
      </w:r>
      <w:r w:rsidRPr="00927C55">
        <w:rPr>
          <w:rFonts w:ascii="Times New Roman" w:eastAsia="Times New Roman" w:hAnsi="Times New Roman" w:cs="Times New Roman"/>
          <w:bCs/>
          <w:i/>
          <w:color w:val="000000"/>
        </w:rPr>
        <w:t>ssessing</w:t>
      </w:r>
      <w:proofErr w:type="spellEnd"/>
      <w:r w:rsidRPr="00927C55">
        <w:rPr>
          <w:rFonts w:ascii="Times New Roman" w:eastAsia="Times New Roman" w:hAnsi="Times New Roman" w:cs="Times New Roman"/>
          <w:bCs/>
          <w:i/>
          <w:color w:val="000000"/>
        </w:rPr>
        <w:t xml:space="preserve"> the 2019 European </w:t>
      </w:r>
      <w:proofErr w:type="spellStart"/>
      <w:r w:rsidRPr="00927C55">
        <w:rPr>
          <w:rFonts w:ascii="Times New Roman" w:eastAsia="Times New Roman" w:hAnsi="Times New Roman" w:cs="Times New Roman"/>
          <w:bCs/>
          <w:i/>
          <w:color w:val="000000"/>
        </w:rPr>
        <w:t>Parliament</w:t>
      </w:r>
      <w:proofErr w:type="spellEnd"/>
      <w:r w:rsidRPr="00927C55">
        <w:rPr>
          <w:rFonts w:ascii="Times New Roman" w:eastAsia="Times New Roman" w:hAnsi="Times New Roman" w:cs="Times New Roman"/>
          <w:bCs/>
          <w:i/>
          <w:color w:val="000000"/>
        </w:rPr>
        <w:t xml:space="preserve"> </w:t>
      </w:r>
      <w:proofErr w:type="spellStart"/>
      <w:r w:rsidRPr="00927C55">
        <w:rPr>
          <w:rFonts w:ascii="Times New Roman" w:eastAsia="Times New Roman" w:hAnsi="Times New Roman" w:cs="Times New Roman"/>
          <w:bCs/>
          <w:i/>
          <w:color w:val="000000"/>
        </w:rPr>
        <w:t>Elections</w:t>
      </w:r>
      <w:proofErr w:type="spellEnd"/>
      <w:r>
        <w:rPr>
          <w:rFonts w:ascii="Times New Roman" w:eastAsia="Times New Roman" w:hAnsi="Times New Roman" w:cs="Times New Roman"/>
          <w:bCs/>
          <w:i/>
          <w:color w:val="000000"/>
        </w:rPr>
        <w:t xml:space="preserve">“, </w:t>
      </w:r>
      <w:proofErr w:type="spellStart"/>
      <w:r>
        <w:rPr>
          <w:rFonts w:ascii="Times New Roman" w:eastAsia="Times New Roman" w:hAnsi="Times New Roman" w:cs="Times New Roman"/>
          <w:bCs/>
          <w:i/>
          <w:color w:val="000000"/>
        </w:rPr>
        <w:t>edited</w:t>
      </w:r>
      <w:proofErr w:type="spellEnd"/>
      <w:r>
        <w:rPr>
          <w:rFonts w:ascii="Times New Roman" w:eastAsia="Times New Roman" w:hAnsi="Times New Roman" w:cs="Times New Roman"/>
          <w:bCs/>
          <w:i/>
          <w:color w:val="000000"/>
        </w:rPr>
        <w:t xml:space="preserve"> </w:t>
      </w:r>
      <w:proofErr w:type="spellStart"/>
      <w:r>
        <w:rPr>
          <w:rFonts w:ascii="Times New Roman" w:eastAsia="Times New Roman" w:hAnsi="Times New Roman" w:cs="Times New Roman"/>
          <w:bCs/>
          <w:i/>
          <w:color w:val="000000"/>
        </w:rPr>
        <w:t>by</w:t>
      </w:r>
      <w:proofErr w:type="spellEnd"/>
      <w:r>
        <w:rPr>
          <w:rFonts w:ascii="Times New Roman" w:eastAsia="Times New Roman" w:hAnsi="Times New Roman" w:cs="Times New Roman"/>
          <w:bCs/>
          <w:i/>
          <w:color w:val="000000"/>
        </w:rPr>
        <w:t xml:space="preserve"> Sylvia </w:t>
      </w:r>
      <w:proofErr w:type="spellStart"/>
      <w:r>
        <w:rPr>
          <w:rFonts w:ascii="Times New Roman" w:eastAsia="Times New Roman" w:hAnsi="Times New Roman" w:cs="Times New Roman"/>
          <w:bCs/>
          <w:i/>
          <w:color w:val="000000"/>
        </w:rPr>
        <w:t>Kritzinger</w:t>
      </w:r>
      <w:proofErr w:type="spellEnd"/>
      <w:r>
        <w:rPr>
          <w:rFonts w:ascii="Times New Roman" w:eastAsia="Times New Roman" w:hAnsi="Times New Roman" w:cs="Times New Roman"/>
          <w:bCs/>
          <w:i/>
          <w:color w:val="000000"/>
        </w:rPr>
        <w:t xml:space="preserve">, Carolina Plescia, </w:t>
      </w:r>
      <w:proofErr w:type="spellStart"/>
      <w:r>
        <w:rPr>
          <w:rFonts w:ascii="Times New Roman" w:eastAsia="Times New Roman" w:hAnsi="Times New Roman" w:cs="Times New Roman"/>
          <w:bCs/>
          <w:i/>
          <w:color w:val="000000"/>
        </w:rPr>
        <w:t>Kolja</w:t>
      </w:r>
      <w:proofErr w:type="spellEnd"/>
      <w:r>
        <w:rPr>
          <w:rFonts w:ascii="Times New Roman" w:eastAsia="Times New Roman" w:hAnsi="Times New Roman" w:cs="Times New Roman"/>
          <w:bCs/>
          <w:i/>
          <w:color w:val="000000"/>
        </w:rPr>
        <w:t xml:space="preserve"> Raube, James Wilhelm </w:t>
      </w:r>
      <w:proofErr w:type="spellStart"/>
      <w:r>
        <w:rPr>
          <w:rFonts w:ascii="Times New Roman" w:eastAsia="Times New Roman" w:hAnsi="Times New Roman" w:cs="Times New Roman"/>
          <w:bCs/>
          <w:i/>
          <w:color w:val="000000"/>
        </w:rPr>
        <w:t>and</w:t>
      </w:r>
      <w:proofErr w:type="spellEnd"/>
      <w:r>
        <w:rPr>
          <w:rFonts w:ascii="Times New Roman" w:eastAsia="Times New Roman" w:hAnsi="Times New Roman" w:cs="Times New Roman"/>
          <w:bCs/>
          <w:i/>
          <w:color w:val="000000"/>
        </w:rPr>
        <w:t xml:space="preserve"> Jan Wouters. Routledge.</w:t>
      </w:r>
      <w:bookmarkEnd w:id="0"/>
    </w:p>
    <w:p w14:paraId="25CDCF0F" w14:textId="77777777" w:rsidR="00D65227" w:rsidRPr="00D63655" w:rsidRDefault="00D65227" w:rsidP="00D65227">
      <w:pPr>
        <w:spacing w:line="276" w:lineRule="auto"/>
        <w:rPr>
          <w:rFonts w:ascii="Times New Roman" w:hAnsi="Times New Roman" w:cs="Times New Roman"/>
          <w:u w:val="single"/>
          <w:lang w:val="en-US"/>
        </w:rPr>
      </w:pPr>
    </w:p>
    <w:p w14:paraId="00324F8C" w14:textId="77777777" w:rsidR="00D65227" w:rsidRPr="00D63655" w:rsidRDefault="00D65227" w:rsidP="00D65227">
      <w:pPr>
        <w:spacing w:line="276" w:lineRule="auto"/>
        <w:rPr>
          <w:rFonts w:ascii="Times New Roman" w:hAnsi="Times New Roman" w:cs="Times New Roman"/>
          <w:u w:val="single"/>
          <w:lang w:val="en-US"/>
        </w:rPr>
      </w:pPr>
    </w:p>
    <w:p w14:paraId="47F19EDF" w14:textId="77777777" w:rsidR="000D7C97" w:rsidRPr="009424C5" w:rsidRDefault="000D7C97" w:rsidP="000D7C97">
      <w:pPr>
        <w:pStyle w:val="Listeafsnit"/>
        <w:numPr>
          <w:ilvl w:val="0"/>
          <w:numId w:val="42"/>
        </w:numPr>
        <w:spacing w:line="480" w:lineRule="auto"/>
        <w:ind w:left="0" w:firstLine="0"/>
        <w:jc w:val="both"/>
        <w:rPr>
          <w:rFonts w:ascii="Times New Roman" w:hAnsi="Times New Roman" w:cs="Times New Roman"/>
          <w:lang w:val="en-US"/>
        </w:rPr>
      </w:pPr>
      <w:r w:rsidRPr="009424C5">
        <w:rPr>
          <w:rFonts w:ascii="Times New Roman" w:hAnsi="Times New Roman" w:cs="Times New Roman"/>
          <w:b/>
          <w:lang w:val="en-US"/>
        </w:rPr>
        <w:t>Introduction</w:t>
      </w:r>
    </w:p>
    <w:p w14:paraId="0D933CEB" w14:textId="77777777" w:rsidR="00D90B6C" w:rsidRPr="00E23976" w:rsidRDefault="00D90B6C" w:rsidP="008927C3">
      <w:pPr>
        <w:spacing w:line="276" w:lineRule="auto"/>
        <w:rPr>
          <w:rFonts w:ascii="Times New Roman" w:hAnsi="Times New Roman" w:cs="Times New Roman"/>
          <w:u w:val="single"/>
          <w:lang w:val="en-US"/>
        </w:rPr>
      </w:pPr>
    </w:p>
    <w:p w14:paraId="43668940" w14:textId="685E02AB" w:rsidR="005568C3" w:rsidRPr="00E23976" w:rsidRDefault="00B80DB7" w:rsidP="00D65227">
      <w:pPr>
        <w:spacing w:line="360" w:lineRule="auto"/>
        <w:jc w:val="both"/>
        <w:rPr>
          <w:rFonts w:ascii="Times New Roman" w:hAnsi="Times New Roman" w:cs="Times New Roman"/>
          <w:lang w:val="en-US"/>
        </w:rPr>
      </w:pPr>
      <w:r w:rsidRPr="00E23976">
        <w:rPr>
          <w:rFonts w:ascii="Times New Roman" w:hAnsi="Times New Roman" w:cs="Times New Roman"/>
          <w:lang w:val="en-US"/>
        </w:rPr>
        <w:t xml:space="preserve">The 2019 EP Election in Denmark took place on 26 May 2019, 10 days prior to the national election to the Danish Parliament on 5 June 2019. The incumbent right-wing </w:t>
      </w:r>
      <w:r w:rsidR="005568C3" w:rsidRPr="00E23976">
        <w:rPr>
          <w:rFonts w:ascii="Times New Roman" w:hAnsi="Times New Roman" w:cs="Times New Roman"/>
          <w:lang w:val="en-US"/>
        </w:rPr>
        <w:t>Prime Minister</w:t>
      </w:r>
      <w:r w:rsidR="00863F37" w:rsidRPr="00E23976">
        <w:rPr>
          <w:rFonts w:ascii="Times New Roman" w:hAnsi="Times New Roman" w:cs="Times New Roman"/>
          <w:lang w:val="en-US"/>
        </w:rPr>
        <w:t xml:space="preserve">, Lars </w:t>
      </w:r>
      <w:proofErr w:type="spellStart"/>
      <w:r w:rsidR="00863F37" w:rsidRPr="00E23976">
        <w:rPr>
          <w:rFonts w:ascii="Times New Roman" w:hAnsi="Times New Roman" w:cs="Times New Roman"/>
          <w:lang w:val="en-US"/>
        </w:rPr>
        <w:t>Løkke</w:t>
      </w:r>
      <w:proofErr w:type="spellEnd"/>
      <w:r w:rsidR="00863F37" w:rsidRPr="00E23976">
        <w:rPr>
          <w:rFonts w:ascii="Times New Roman" w:hAnsi="Times New Roman" w:cs="Times New Roman"/>
          <w:lang w:val="en-US"/>
        </w:rPr>
        <w:t xml:space="preserve"> Rasmussen,</w:t>
      </w:r>
      <w:r w:rsidRPr="00E23976">
        <w:rPr>
          <w:rFonts w:ascii="Times New Roman" w:hAnsi="Times New Roman" w:cs="Times New Roman"/>
          <w:lang w:val="en-US"/>
        </w:rPr>
        <w:t xml:space="preserve"> called the </w:t>
      </w:r>
      <w:r w:rsidR="006333EF">
        <w:rPr>
          <w:rFonts w:ascii="Times New Roman" w:hAnsi="Times New Roman" w:cs="Times New Roman"/>
          <w:lang w:val="en-US"/>
        </w:rPr>
        <w:t xml:space="preserve">national </w:t>
      </w:r>
      <w:r w:rsidR="00863F37" w:rsidRPr="00E23976">
        <w:rPr>
          <w:rFonts w:ascii="Times New Roman" w:hAnsi="Times New Roman" w:cs="Times New Roman"/>
          <w:lang w:val="en-US"/>
        </w:rPr>
        <w:t xml:space="preserve">election with four </w:t>
      </w:r>
      <w:r w:rsidR="005568C3" w:rsidRPr="00E23976">
        <w:rPr>
          <w:rFonts w:ascii="Times New Roman" w:hAnsi="Times New Roman" w:cs="Times New Roman"/>
          <w:lang w:val="en-US"/>
        </w:rPr>
        <w:t>weeks’ notice</w:t>
      </w:r>
      <w:r w:rsidR="00E23976">
        <w:rPr>
          <w:rFonts w:ascii="Times New Roman" w:hAnsi="Times New Roman" w:cs="Times New Roman"/>
          <w:lang w:val="en-US"/>
        </w:rPr>
        <w:t>, when the</w:t>
      </w:r>
      <w:r w:rsidRPr="00E23976">
        <w:rPr>
          <w:rFonts w:ascii="Times New Roman" w:hAnsi="Times New Roman" w:cs="Times New Roman"/>
          <w:lang w:val="en-US"/>
        </w:rPr>
        <w:t xml:space="preserve"> EP election campaign was already running at full speed.</w:t>
      </w:r>
      <w:r w:rsidR="008C4907" w:rsidRPr="00E23976">
        <w:rPr>
          <w:rStyle w:val="Fodnotehenvisning"/>
          <w:rFonts w:ascii="Times New Roman" w:hAnsi="Times New Roman" w:cs="Times New Roman"/>
        </w:rPr>
        <w:footnoteReference w:id="1"/>
      </w:r>
      <w:r w:rsidRPr="00E23976">
        <w:rPr>
          <w:rFonts w:ascii="Times New Roman" w:hAnsi="Times New Roman" w:cs="Times New Roman"/>
          <w:lang w:val="en-US"/>
        </w:rPr>
        <w:t xml:space="preserve"> </w:t>
      </w:r>
      <w:r w:rsidR="00F262EF">
        <w:rPr>
          <w:rFonts w:ascii="Times New Roman" w:hAnsi="Times New Roman" w:cs="Times New Roman"/>
          <w:lang w:val="en-US"/>
        </w:rPr>
        <w:t>Hence, it could be that the</w:t>
      </w:r>
      <w:r w:rsidR="008C4907" w:rsidRPr="00E23976">
        <w:rPr>
          <w:rFonts w:ascii="Times New Roman" w:hAnsi="Times New Roman" w:cs="Times New Roman"/>
          <w:lang w:val="en-US"/>
        </w:rPr>
        <w:t xml:space="preserve"> EP Election </w:t>
      </w:r>
      <w:r w:rsidR="00F262EF">
        <w:rPr>
          <w:rFonts w:ascii="Times New Roman" w:hAnsi="Times New Roman" w:cs="Times New Roman"/>
          <w:lang w:val="en-US"/>
        </w:rPr>
        <w:t>was</w:t>
      </w:r>
      <w:r w:rsidR="006B5D17">
        <w:rPr>
          <w:rFonts w:ascii="Times New Roman" w:hAnsi="Times New Roman" w:cs="Times New Roman"/>
          <w:lang w:val="en-US"/>
        </w:rPr>
        <w:t xml:space="preserve"> </w:t>
      </w:r>
      <w:r w:rsidR="008C4907" w:rsidRPr="00E23976">
        <w:rPr>
          <w:rFonts w:ascii="Times New Roman" w:hAnsi="Times New Roman" w:cs="Times New Roman"/>
          <w:lang w:val="en-US"/>
        </w:rPr>
        <w:t>completely swamped by the national election</w:t>
      </w:r>
      <w:r w:rsidR="002B4B32" w:rsidRPr="00E23976">
        <w:rPr>
          <w:rFonts w:ascii="Times New Roman" w:hAnsi="Times New Roman" w:cs="Times New Roman"/>
          <w:lang w:val="en-US"/>
        </w:rPr>
        <w:t xml:space="preserve"> </w:t>
      </w:r>
      <w:r w:rsidR="00F262EF">
        <w:rPr>
          <w:rFonts w:ascii="Times New Roman" w:hAnsi="Times New Roman" w:cs="Times New Roman"/>
          <w:lang w:val="en-US"/>
        </w:rPr>
        <w:t>as</w:t>
      </w:r>
      <w:r w:rsidR="002B4B32" w:rsidRPr="00E23976">
        <w:rPr>
          <w:rFonts w:ascii="Times New Roman" w:hAnsi="Times New Roman" w:cs="Times New Roman"/>
          <w:lang w:val="en-US"/>
        </w:rPr>
        <w:t xml:space="preserve"> a ‘second-order election’</w:t>
      </w:r>
      <w:r w:rsidR="00F262EF">
        <w:rPr>
          <w:rFonts w:ascii="Times New Roman" w:hAnsi="Times New Roman" w:cs="Times New Roman"/>
          <w:lang w:val="en-US"/>
        </w:rPr>
        <w:t>,</w:t>
      </w:r>
      <w:r w:rsidR="008C4907" w:rsidRPr="00E23976">
        <w:rPr>
          <w:rFonts w:ascii="Times New Roman" w:hAnsi="Times New Roman" w:cs="Times New Roman"/>
          <w:lang w:val="en-US"/>
        </w:rPr>
        <w:t xml:space="preserve"> or </w:t>
      </w:r>
      <w:r w:rsidR="00F262EF">
        <w:rPr>
          <w:rFonts w:ascii="Times New Roman" w:hAnsi="Times New Roman" w:cs="Times New Roman"/>
          <w:lang w:val="en-US"/>
        </w:rPr>
        <w:t xml:space="preserve">that </w:t>
      </w:r>
      <w:r w:rsidR="008C4907" w:rsidRPr="00E23976">
        <w:rPr>
          <w:rFonts w:ascii="Times New Roman" w:hAnsi="Times New Roman" w:cs="Times New Roman"/>
          <w:lang w:val="en-US"/>
        </w:rPr>
        <w:t xml:space="preserve">it </w:t>
      </w:r>
      <w:r w:rsidR="00F262EF">
        <w:rPr>
          <w:rFonts w:ascii="Times New Roman" w:hAnsi="Times New Roman" w:cs="Times New Roman"/>
          <w:lang w:val="en-US"/>
        </w:rPr>
        <w:t>was</w:t>
      </w:r>
      <w:r w:rsidR="002B4B32" w:rsidRPr="00E23976">
        <w:rPr>
          <w:rFonts w:ascii="Times New Roman" w:hAnsi="Times New Roman" w:cs="Times New Roman"/>
          <w:lang w:val="en-US"/>
        </w:rPr>
        <w:t xml:space="preserve"> an important democratic even</w:t>
      </w:r>
      <w:r w:rsidR="006B5D17">
        <w:rPr>
          <w:rFonts w:ascii="Times New Roman" w:hAnsi="Times New Roman" w:cs="Times New Roman"/>
          <w:lang w:val="en-US"/>
        </w:rPr>
        <w:t>t</w:t>
      </w:r>
      <w:r w:rsidR="002B4B32" w:rsidRPr="00E23976">
        <w:rPr>
          <w:rFonts w:ascii="Times New Roman" w:hAnsi="Times New Roman" w:cs="Times New Roman"/>
          <w:lang w:val="en-US"/>
        </w:rPr>
        <w:t xml:space="preserve"> in its own right</w:t>
      </w:r>
      <w:r w:rsidR="00F262EF">
        <w:rPr>
          <w:rFonts w:ascii="Times New Roman" w:hAnsi="Times New Roman" w:cs="Times New Roman"/>
          <w:lang w:val="en-US"/>
        </w:rPr>
        <w:t xml:space="preserve"> for Danish parties and voters</w:t>
      </w:r>
      <w:r w:rsidR="009134A5">
        <w:rPr>
          <w:rFonts w:ascii="Times New Roman" w:hAnsi="Times New Roman" w:cs="Times New Roman"/>
          <w:lang w:val="en-US"/>
        </w:rPr>
        <w:t xml:space="preserve">, </w:t>
      </w:r>
      <w:proofErr w:type="spellStart"/>
      <w:r w:rsidR="009134A5">
        <w:rPr>
          <w:rFonts w:ascii="Times New Roman" w:hAnsi="Times New Roman" w:cs="Times New Roman"/>
          <w:lang w:val="en-US"/>
        </w:rPr>
        <w:t>i.e</w:t>
      </w:r>
      <w:proofErr w:type="spellEnd"/>
      <w:r w:rsidR="003D0D8A" w:rsidRPr="00E23976">
        <w:rPr>
          <w:rFonts w:ascii="Times New Roman" w:hAnsi="Times New Roman" w:cs="Times New Roman"/>
          <w:lang w:val="en-US"/>
        </w:rPr>
        <w:t xml:space="preserve"> a ‘first-order election’</w:t>
      </w:r>
      <w:r w:rsidR="008C4907" w:rsidRPr="00E23976">
        <w:rPr>
          <w:rFonts w:ascii="Times New Roman" w:hAnsi="Times New Roman" w:cs="Times New Roman"/>
          <w:lang w:val="en-US"/>
        </w:rPr>
        <w:t xml:space="preserve">. </w:t>
      </w:r>
    </w:p>
    <w:p w14:paraId="3E6F8571" w14:textId="399486CE" w:rsidR="007616DB" w:rsidRPr="00104E84" w:rsidRDefault="008C4907" w:rsidP="00D65227">
      <w:pPr>
        <w:spacing w:line="360" w:lineRule="auto"/>
        <w:ind w:firstLine="708"/>
        <w:jc w:val="both"/>
        <w:rPr>
          <w:rFonts w:ascii="Times New Roman" w:hAnsi="Times New Roman" w:cs="Times New Roman"/>
          <w:lang w:val="en-US"/>
        </w:rPr>
      </w:pPr>
      <w:r w:rsidRPr="00F262EF">
        <w:rPr>
          <w:rFonts w:ascii="Times New Roman" w:hAnsi="Times New Roman" w:cs="Times New Roman"/>
          <w:lang w:val="en-US"/>
        </w:rPr>
        <w:t xml:space="preserve">The immediate implication </w:t>
      </w:r>
      <w:r w:rsidR="005568C3" w:rsidRPr="00F262EF">
        <w:rPr>
          <w:rFonts w:ascii="Times New Roman" w:hAnsi="Times New Roman" w:cs="Times New Roman"/>
          <w:lang w:val="en-US"/>
        </w:rPr>
        <w:t xml:space="preserve">of the </w:t>
      </w:r>
      <w:r w:rsidR="00F262EF">
        <w:rPr>
          <w:rFonts w:ascii="Times New Roman" w:hAnsi="Times New Roman" w:cs="Times New Roman"/>
          <w:lang w:val="en-US"/>
        </w:rPr>
        <w:t>coincidence</w:t>
      </w:r>
      <w:r w:rsidR="00F262EF" w:rsidRPr="00F262EF">
        <w:rPr>
          <w:rFonts w:ascii="Times New Roman" w:hAnsi="Times New Roman" w:cs="Times New Roman"/>
          <w:lang w:val="en-US"/>
        </w:rPr>
        <w:t xml:space="preserve"> </w:t>
      </w:r>
      <w:r w:rsidR="005568C3" w:rsidRPr="00F262EF">
        <w:rPr>
          <w:rFonts w:ascii="Times New Roman" w:hAnsi="Times New Roman" w:cs="Times New Roman"/>
          <w:lang w:val="en-US"/>
        </w:rPr>
        <w:t xml:space="preserve">of the national election campaign </w:t>
      </w:r>
      <w:r w:rsidR="00F262EF">
        <w:rPr>
          <w:rFonts w:ascii="Times New Roman" w:hAnsi="Times New Roman" w:cs="Times New Roman"/>
          <w:lang w:val="en-US"/>
        </w:rPr>
        <w:t>with</w:t>
      </w:r>
      <w:r w:rsidR="005568C3" w:rsidRPr="00F262EF">
        <w:rPr>
          <w:rFonts w:ascii="Times New Roman" w:hAnsi="Times New Roman" w:cs="Times New Roman"/>
          <w:lang w:val="en-US"/>
        </w:rPr>
        <w:t xml:space="preserve"> EP election campaign </w:t>
      </w:r>
      <w:r w:rsidRPr="00F262EF">
        <w:rPr>
          <w:rFonts w:ascii="Times New Roman" w:hAnsi="Times New Roman" w:cs="Times New Roman"/>
          <w:lang w:val="en-US"/>
        </w:rPr>
        <w:t xml:space="preserve">was that only EP candidates campaigned </w:t>
      </w:r>
      <w:r w:rsidR="00E46A74" w:rsidRPr="00F262EF">
        <w:rPr>
          <w:rFonts w:ascii="Times New Roman" w:hAnsi="Times New Roman" w:cs="Times New Roman"/>
          <w:lang w:val="en-US"/>
        </w:rPr>
        <w:t xml:space="preserve">explicitly </w:t>
      </w:r>
      <w:r w:rsidRPr="00F262EF">
        <w:rPr>
          <w:rFonts w:ascii="Times New Roman" w:hAnsi="Times New Roman" w:cs="Times New Roman"/>
          <w:lang w:val="en-US"/>
        </w:rPr>
        <w:t xml:space="preserve">on the EP Election. The party </w:t>
      </w:r>
      <w:r w:rsidR="00E46A74" w:rsidRPr="00F262EF">
        <w:rPr>
          <w:rFonts w:ascii="Times New Roman" w:hAnsi="Times New Roman" w:cs="Times New Roman"/>
          <w:lang w:val="en-US"/>
        </w:rPr>
        <w:t>leaders were preoccupied with the national election</w:t>
      </w:r>
      <w:r w:rsidR="00C32AE2" w:rsidRPr="00F262EF">
        <w:rPr>
          <w:rFonts w:ascii="Times New Roman" w:hAnsi="Times New Roman" w:cs="Times New Roman"/>
          <w:lang w:val="en-US"/>
        </w:rPr>
        <w:t xml:space="preserve"> and ‘local’ problems</w:t>
      </w:r>
      <w:r w:rsidR="003265CE" w:rsidRPr="00F262EF">
        <w:rPr>
          <w:rFonts w:ascii="Times New Roman" w:hAnsi="Times New Roman" w:cs="Times New Roman"/>
          <w:lang w:val="en-US"/>
        </w:rPr>
        <w:t xml:space="preserve"> </w:t>
      </w:r>
      <w:r w:rsidR="00F262EF">
        <w:rPr>
          <w:rFonts w:ascii="Times New Roman" w:hAnsi="Times New Roman" w:cs="Times New Roman"/>
          <w:lang w:val="en-US"/>
        </w:rPr>
        <w:t>took center stage,</w:t>
      </w:r>
      <w:r w:rsidR="00F262EF" w:rsidRPr="00F262EF">
        <w:rPr>
          <w:rFonts w:ascii="Times New Roman" w:hAnsi="Times New Roman" w:cs="Times New Roman"/>
          <w:lang w:val="en-US"/>
        </w:rPr>
        <w:t xml:space="preserve"> </w:t>
      </w:r>
      <w:r w:rsidR="00C32AE2" w:rsidRPr="00F262EF">
        <w:rPr>
          <w:rFonts w:ascii="Times New Roman" w:hAnsi="Times New Roman" w:cs="Times New Roman"/>
          <w:lang w:val="en-US"/>
        </w:rPr>
        <w:t>such as whether the government should allow refugees in</w:t>
      </w:r>
      <w:r w:rsidR="00F262EF">
        <w:rPr>
          <w:rFonts w:ascii="Times New Roman" w:hAnsi="Times New Roman" w:cs="Times New Roman"/>
          <w:lang w:val="en-US"/>
        </w:rPr>
        <w:t xml:space="preserve"> the</w:t>
      </w:r>
      <w:r w:rsidR="00C32AE2" w:rsidRPr="00F262EF">
        <w:rPr>
          <w:rFonts w:ascii="Times New Roman" w:hAnsi="Times New Roman" w:cs="Times New Roman"/>
          <w:lang w:val="en-US"/>
        </w:rPr>
        <w:t xml:space="preserve"> ‘</w:t>
      </w:r>
      <w:proofErr w:type="spellStart"/>
      <w:r w:rsidR="00C32AE2" w:rsidRPr="00F262EF">
        <w:rPr>
          <w:rFonts w:ascii="Times New Roman" w:hAnsi="Times New Roman" w:cs="Times New Roman"/>
          <w:lang w:val="en-US"/>
        </w:rPr>
        <w:t>Sjælsmark</w:t>
      </w:r>
      <w:proofErr w:type="spellEnd"/>
      <w:r w:rsidR="00C32AE2" w:rsidRPr="00F262EF">
        <w:rPr>
          <w:rFonts w:ascii="Times New Roman" w:hAnsi="Times New Roman" w:cs="Times New Roman"/>
          <w:lang w:val="en-US"/>
        </w:rPr>
        <w:t xml:space="preserve"> </w:t>
      </w:r>
      <w:r w:rsidR="003265CE" w:rsidRPr="00F262EF">
        <w:rPr>
          <w:rFonts w:ascii="Times New Roman" w:hAnsi="Times New Roman" w:cs="Times New Roman"/>
          <w:lang w:val="en-US"/>
        </w:rPr>
        <w:t>I</w:t>
      </w:r>
      <w:r w:rsidR="00C32AE2" w:rsidRPr="00F262EF">
        <w:rPr>
          <w:rFonts w:ascii="Times New Roman" w:hAnsi="Times New Roman" w:cs="Times New Roman"/>
          <w:lang w:val="en-US"/>
        </w:rPr>
        <w:t xml:space="preserve">mmigrant </w:t>
      </w:r>
      <w:r w:rsidR="003265CE" w:rsidRPr="00F262EF">
        <w:rPr>
          <w:rFonts w:ascii="Times New Roman" w:hAnsi="Times New Roman" w:cs="Times New Roman"/>
          <w:lang w:val="en-US"/>
        </w:rPr>
        <w:t>C</w:t>
      </w:r>
      <w:r w:rsidR="00C32AE2" w:rsidRPr="00F262EF">
        <w:rPr>
          <w:rFonts w:ascii="Times New Roman" w:hAnsi="Times New Roman" w:cs="Times New Roman"/>
          <w:lang w:val="en-US"/>
        </w:rPr>
        <w:t xml:space="preserve">enter’ to access a kitchen to cook their own meals and whether the government should set up an immigrant deportation center on the small island of </w:t>
      </w:r>
      <w:proofErr w:type="spellStart"/>
      <w:r w:rsidR="00C32AE2" w:rsidRPr="00F262EF">
        <w:rPr>
          <w:rFonts w:ascii="Times New Roman" w:hAnsi="Times New Roman" w:cs="Times New Roman"/>
          <w:lang w:val="en-US"/>
        </w:rPr>
        <w:t>Lindholm</w:t>
      </w:r>
      <w:proofErr w:type="spellEnd"/>
      <w:r w:rsidR="00C32AE2" w:rsidRPr="00F262EF">
        <w:rPr>
          <w:rFonts w:ascii="Times New Roman" w:hAnsi="Times New Roman" w:cs="Times New Roman"/>
          <w:lang w:val="en-US"/>
        </w:rPr>
        <w:t xml:space="preserve">. Moreover, the </w:t>
      </w:r>
      <w:r w:rsidR="007D6688" w:rsidRPr="00F262EF">
        <w:rPr>
          <w:rFonts w:ascii="Times New Roman" w:hAnsi="Times New Roman" w:cs="Times New Roman"/>
          <w:lang w:val="en-US"/>
        </w:rPr>
        <w:t>incumbent Prime Minister</w:t>
      </w:r>
      <w:r w:rsidR="00F262EF">
        <w:rPr>
          <w:rFonts w:ascii="Times New Roman" w:hAnsi="Times New Roman" w:cs="Times New Roman"/>
          <w:lang w:val="en-US"/>
        </w:rPr>
        <w:t>,</w:t>
      </w:r>
      <w:r w:rsidR="007D6688" w:rsidRPr="00F262EF">
        <w:rPr>
          <w:rFonts w:ascii="Times New Roman" w:hAnsi="Times New Roman" w:cs="Times New Roman"/>
          <w:lang w:val="en-US"/>
        </w:rPr>
        <w:t xml:space="preserve"> </w:t>
      </w:r>
      <w:r w:rsidR="00C32AE2" w:rsidRPr="00F262EF">
        <w:rPr>
          <w:rFonts w:ascii="Times New Roman" w:hAnsi="Times New Roman" w:cs="Times New Roman"/>
          <w:lang w:val="en-US"/>
        </w:rPr>
        <w:t xml:space="preserve">Lars </w:t>
      </w:r>
      <w:proofErr w:type="spellStart"/>
      <w:r w:rsidR="00C32AE2" w:rsidRPr="00F262EF">
        <w:rPr>
          <w:rFonts w:ascii="Times New Roman" w:hAnsi="Times New Roman" w:cs="Times New Roman"/>
          <w:lang w:val="en-US"/>
        </w:rPr>
        <w:t>Løkke</w:t>
      </w:r>
      <w:proofErr w:type="spellEnd"/>
      <w:r w:rsidR="00C32AE2" w:rsidRPr="00F262EF">
        <w:rPr>
          <w:rFonts w:ascii="Times New Roman" w:hAnsi="Times New Roman" w:cs="Times New Roman"/>
          <w:lang w:val="en-US"/>
        </w:rPr>
        <w:t xml:space="preserve"> Rasmussen</w:t>
      </w:r>
      <w:r w:rsidR="00F262EF">
        <w:rPr>
          <w:rFonts w:ascii="Times New Roman" w:hAnsi="Times New Roman" w:cs="Times New Roman"/>
          <w:lang w:val="en-US"/>
        </w:rPr>
        <w:t>,</w:t>
      </w:r>
      <w:r w:rsidR="00C32AE2" w:rsidRPr="00F262EF">
        <w:rPr>
          <w:rFonts w:ascii="Times New Roman" w:hAnsi="Times New Roman" w:cs="Times New Roman"/>
          <w:lang w:val="en-US"/>
        </w:rPr>
        <w:t xml:space="preserve"> hijacked the </w:t>
      </w:r>
      <w:r w:rsidR="003265CE" w:rsidRPr="00F262EF">
        <w:rPr>
          <w:rFonts w:ascii="Times New Roman" w:hAnsi="Times New Roman" w:cs="Times New Roman"/>
          <w:lang w:val="en-US"/>
        </w:rPr>
        <w:t xml:space="preserve">national </w:t>
      </w:r>
      <w:r w:rsidR="00C32AE2" w:rsidRPr="00F262EF">
        <w:rPr>
          <w:rFonts w:ascii="Times New Roman" w:hAnsi="Times New Roman" w:cs="Times New Roman"/>
          <w:lang w:val="en-US"/>
        </w:rPr>
        <w:t xml:space="preserve">campaign by proposing </w:t>
      </w:r>
      <w:r w:rsidR="003265CE" w:rsidRPr="00F262EF">
        <w:rPr>
          <w:rFonts w:ascii="Times New Roman" w:hAnsi="Times New Roman" w:cs="Times New Roman"/>
          <w:lang w:val="en-US"/>
        </w:rPr>
        <w:t xml:space="preserve">a cross-bloc coalition government with the Social Democrats – which made the national campaign very distant from </w:t>
      </w:r>
      <w:r w:rsidR="00F262EF">
        <w:rPr>
          <w:rFonts w:ascii="Times New Roman" w:hAnsi="Times New Roman" w:cs="Times New Roman"/>
          <w:lang w:val="en-US"/>
        </w:rPr>
        <w:t>Brussels</w:t>
      </w:r>
      <w:r w:rsidR="003265CE" w:rsidRPr="00F262EF">
        <w:rPr>
          <w:rFonts w:ascii="Times New Roman" w:hAnsi="Times New Roman" w:cs="Times New Roman"/>
          <w:lang w:val="en-US"/>
        </w:rPr>
        <w:t xml:space="preserve">. </w:t>
      </w:r>
      <w:r w:rsidR="00E46A74" w:rsidRPr="00F262EF">
        <w:rPr>
          <w:rFonts w:ascii="Times New Roman" w:hAnsi="Times New Roman" w:cs="Times New Roman"/>
          <w:lang w:val="en-US"/>
        </w:rPr>
        <w:t xml:space="preserve">Yet, at the same time, since voters were concerned with cross-border issues such as the environment/climate and immigration, the EU and </w:t>
      </w:r>
      <w:r w:rsidR="00AB5DFB">
        <w:rPr>
          <w:rFonts w:ascii="Times New Roman" w:hAnsi="Times New Roman" w:cs="Times New Roman"/>
          <w:lang w:val="en-US"/>
        </w:rPr>
        <w:t>its role with respect to these issues</w:t>
      </w:r>
      <w:r w:rsidR="00E46A74" w:rsidRPr="00F262EF">
        <w:rPr>
          <w:rFonts w:ascii="Times New Roman" w:hAnsi="Times New Roman" w:cs="Times New Roman"/>
          <w:lang w:val="en-US"/>
        </w:rPr>
        <w:t xml:space="preserve"> became a natural point of discussion</w:t>
      </w:r>
      <w:r w:rsidR="0022450C">
        <w:rPr>
          <w:rFonts w:ascii="Times New Roman" w:hAnsi="Times New Roman" w:cs="Times New Roman"/>
          <w:lang w:val="en-US"/>
        </w:rPr>
        <w:t>,</w:t>
      </w:r>
      <w:r w:rsidR="00E46A74" w:rsidRPr="00F262EF">
        <w:rPr>
          <w:rFonts w:ascii="Times New Roman" w:hAnsi="Times New Roman" w:cs="Times New Roman"/>
          <w:lang w:val="en-US"/>
        </w:rPr>
        <w:t xml:space="preserve"> also in the national campaign</w:t>
      </w:r>
      <w:r w:rsidR="00D077EB" w:rsidRPr="00F262EF">
        <w:rPr>
          <w:rFonts w:ascii="Times New Roman" w:hAnsi="Times New Roman" w:cs="Times New Roman"/>
          <w:lang w:val="en-US"/>
        </w:rPr>
        <w:t xml:space="preserve"> </w:t>
      </w:r>
      <w:r w:rsidR="00D077EB" w:rsidRPr="00104E84">
        <w:rPr>
          <w:rFonts w:ascii="Times New Roman" w:hAnsi="Times New Roman" w:cs="Times New Roman"/>
          <w:lang w:val="en-US"/>
        </w:rPr>
        <w:fldChar w:fldCharType="begin"/>
      </w:r>
      <w:r w:rsidR="00D077EB" w:rsidRPr="00F262EF">
        <w:rPr>
          <w:rFonts w:ascii="Times New Roman" w:hAnsi="Times New Roman" w:cs="Times New Roman"/>
          <w:lang w:val="en-US"/>
        </w:rPr>
        <w:instrText xml:space="preserve"> ADDIN ZOTERO_ITEM CSL_CITATION {"citationID":"CubdOT7b","properties":{"formattedCitation":"(Beach {\\i{}et al.} 2018)","plainCitation":"(Beach et al. 2018)","noteIndex":0},"citationItems":[{"id":2651,"uris":["http://zotero.org/users/local/OrPYDAKz/items/G9NULIKA"],"uri":["http://zotero.org/users/local/OrPYDAKz/items/G9NULIKA"],"itemData":{"id":2651,"type":"article-journal","title":"How Campaigns Enhance European Issues Voting During European Parliament Elections","container-title":"Political Science Research and Methods","page":"791-808","volume":"6","issue":"4","source":"DOI.org (Crossref)","abstract":"Based on findings from the literature on campaign effects on the one hand, and the literature on European Parliament elections on the other, we propose a model of European Parliamentary elections in which the campaign shift the calculus of electoral support, making differences in national political allegiances less important and attitudes about the European project more important by informing voters of and getting them interested in European politics. In effect, we argue that the political campaign leading up to the election makes European Parliament elections less second order. While previous studies have demonstrated that EU issues can matter for voting behavior in European Parliament elections, existing research has drawn on post-election surveys that do not enable us to capture campaign effects. Our contribution is to assess the impact of a campaign by utilizing a rolling cross-sectional survey that enables us to track how voters were affected by the campaign. Our findings show that campaigns do have an effect on European Parliament election outcomes, in that they provide information that enables voters to make decisions based on their attitude on European issues, making voter decision-making more dominated by EU issue voting.","DOI":"10.1017/psrm.2017.6","ISSN":"2049-8470, 2049-8489","journalAbbreviation":"PSRM","language":"en","author":[{"family":"Beach","given":"Derek"},{"family":"Hansen","given":"Kasper M."},{"family":"Larsen","given":"Martin V."}],"issued":{"date-parts":[["2018",10]]}}}],"schema":"https://github.com/citation-style-language/schema/raw/master/csl-citation.json"} </w:instrText>
      </w:r>
      <w:r w:rsidR="00D077EB" w:rsidRPr="00104E84">
        <w:rPr>
          <w:rFonts w:ascii="Times New Roman" w:hAnsi="Times New Roman" w:cs="Times New Roman"/>
          <w:lang w:val="en-US"/>
        </w:rPr>
        <w:fldChar w:fldCharType="separate"/>
      </w:r>
      <w:r w:rsidR="00D077EB" w:rsidRPr="00104E84">
        <w:rPr>
          <w:rFonts w:ascii="Times New Roman" w:hAnsi="Times New Roman" w:cs="Times New Roman"/>
          <w:lang w:val="en-US"/>
        </w:rPr>
        <w:t xml:space="preserve">(Beach </w:t>
      </w:r>
      <w:r w:rsidR="00D077EB" w:rsidRPr="00104E84">
        <w:rPr>
          <w:rFonts w:ascii="Times New Roman" w:hAnsi="Times New Roman" w:cs="Times New Roman"/>
          <w:i/>
          <w:iCs/>
          <w:lang w:val="en-US"/>
        </w:rPr>
        <w:t>et al.</w:t>
      </w:r>
      <w:r w:rsidR="00D077EB" w:rsidRPr="00104E84">
        <w:rPr>
          <w:rFonts w:ascii="Times New Roman" w:hAnsi="Times New Roman" w:cs="Times New Roman"/>
          <w:lang w:val="en-US"/>
        </w:rPr>
        <w:t xml:space="preserve"> 2018)</w:t>
      </w:r>
      <w:r w:rsidR="00D077EB" w:rsidRPr="00104E84">
        <w:rPr>
          <w:rFonts w:ascii="Times New Roman" w:hAnsi="Times New Roman" w:cs="Times New Roman"/>
          <w:lang w:val="en-US"/>
        </w:rPr>
        <w:fldChar w:fldCharType="end"/>
      </w:r>
      <w:r w:rsidR="00E46A74" w:rsidRPr="00104E84">
        <w:rPr>
          <w:rFonts w:ascii="Times New Roman" w:hAnsi="Times New Roman" w:cs="Times New Roman"/>
          <w:lang w:val="en-US"/>
        </w:rPr>
        <w:t xml:space="preserve">. </w:t>
      </w:r>
      <w:r w:rsidR="00EE1ED3" w:rsidRPr="00104E84">
        <w:rPr>
          <w:rFonts w:ascii="Times New Roman" w:hAnsi="Times New Roman" w:cs="Times New Roman"/>
          <w:lang w:val="en-US"/>
        </w:rPr>
        <w:t xml:space="preserve">Hence, despite much media coverage </w:t>
      </w:r>
      <w:r w:rsidR="00F826CA" w:rsidRPr="00104E84">
        <w:rPr>
          <w:rFonts w:ascii="Times New Roman" w:hAnsi="Times New Roman" w:cs="Times New Roman"/>
          <w:lang w:val="en-US"/>
        </w:rPr>
        <w:t xml:space="preserve">in Denmark </w:t>
      </w:r>
      <w:r w:rsidR="00EE1ED3" w:rsidRPr="00104E84">
        <w:rPr>
          <w:rFonts w:ascii="Times New Roman" w:hAnsi="Times New Roman" w:cs="Times New Roman"/>
          <w:lang w:val="en-US"/>
        </w:rPr>
        <w:t xml:space="preserve">of </w:t>
      </w:r>
      <w:proofErr w:type="spellStart"/>
      <w:r w:rsidR="00EE1ED3" w:rsidRPr="00104E84">
        <w:rPr>
          <w:rFonts w:ascii="Times New Roman" w:hAnsi="Times New Roman" w:cs="Times New Roman"/>
          <w:lang w:val="en-US"/>
        </w:rPr>
        <w:t>Brexit</w:t>
      </w:r>
      <w:proofErr w:type="spellEnd"/>
      <w:r w:rsidR="00EE1ED3" w:rsidRPr="00104E84">
        <w:rPr>
          <w:rFonts w:ascii="Times New Roman" w:hAnsi="Times New Roman" w:cs="Times New Roman"/>
          <w:lang w:val="en-US"/>
        </w:rPr>
        <w:t xml:space="preserve"> and the British negotiations</w:t>
      </w:r>
      <w:r w:rsidR="00AB5DFB">
        <w:rPr>
          <w:rFonts w:ascii="Times New Roman" w:hAnsi="Times New Roman" w:cs="Times New Roman"/>
          <w:lang w:val="en-US"/>
        </w:rPr>
        <w:t xml:space="preserve"> with the EU</w:t>
      </w:r>
      <w:r w:rsidR="00EE1ED3" w:rsidRPr="00104E84">
        <w:rPr>
          <w:rFonts w:ascii="Times New Roman" w:hAnsi="Times New Roman" w:cs="Times New Roman"/>
          <w:lang w:val="en-US"/>
        </w:rPr>
        <w:t>, the EP election shared a focus on actual policy problems with the national campaign</w:t>
      </w:r>
      <w:r w:rsidR="00863F37" w:rsidRPr="00104E84">
        <w:rPr>
          <w:rFonts w:ascii="Times New Roman" w:hAnsi="Times New Roman" w:cs="Times New Roman"/>
          <w:lang w:val="en-US"/>
        </w:rPr>
        <w:t xml:space="preserve"> rather than being a discussion on the merits of the EU as such</w:t>
      </w:r>
      <w:r w:rsidR="00EE1ED3" w:rsidRPr="00104E84">
        <w:rPr>
          <w:rFonts w:ascii="Times New Roman" w:hAnsi="Times New Roman" w:cs="Times New Roman"/>
          <w:lang w:val="en-US"/>
        </w:rPr>
        <w:t>.</w:t>
      </w:r>
      <w:r w:rsidR="00CB791D" w:rsidRPr="00104E84">
        <w:rPr>
          <w:rFonts w:ascii="Times New Roman" w:hAnsi="Times New Roman" w:cs="Times New Roman"/>
          <w:lang w:val="en-US"/>
        </w:rPr>
        <w:t xml:space="preserve"> Moreover, despite the Eurozone</w:t>
      </w:r>
      <w:r w:rsidR="00104E84">
        <w:rPr>
          <w:rFonts w:ascii="Times New Roman" w:hAnsi="Times New Roman" w:cs="Times New Roman"/>
          <w:lang w:val="en-US"/>
        </w:rPr>
        <w:t xml:space="preserve"> </w:t>
      </w:r>
      <w:r w:rsidR="00CB791D" w:rsidRPr="00104E84">
        <w:rPr>
          <w:rFonts w:ascii="Times New Roman" w:hAnsi="Times New Roman" w:cs="Times New Roman"/>
          <w:lang w:val="en-US"/>
        </w:rPr>
        <w:t xml:space="preserve">crisis in present memory, </w:t>
      </w:r>
      <w:r w:rsidR="00104E84">
        <w:rPr>
          <w:rFonts w:ascii="Times New Roman" w:hAnsi="Times New Roman" w:cs="Times New Roman"/>
          <w:lang w:val="en-US"/>
        </w:rPr>
        <w:t>debate did not focus on the</w:t>
      </w:r>
      <w:r w:rsidR="00CB791D" w:rsidRPr="00104E84">
        <w:rPr>
          <w:rFonts w:ascii="Times New Roman" w:hAnsi="Times New Roman" w:cs="Times New Roman"/>
          <w:lang w:val="en-US"/>
        </w:rPr>
        <w:t xml:space="preserve"> </w:t>
      </w:r>
      <w:r w:rsidR="00104E84">
        <w:rPr>
          <w:rFonts w:ascii="Times New Roman" w:hAnsi="Times New Roman" w:cs="Times New Roman"/>
          <w:lang w:val="en-US"/>
        </w:rPr>
        <w:t>e</w:t>
      </w:r>
      <w:r w:rsidR="00CB791D" w:rsidRPr="00104E84">
        <w:rPr>
          <w:rFonts w:ascii="Times New Roman" w:hAnsi="Times New Roman" w:cs="Times New Roman"/>
          <w:lang w:val="en-US"/>
        </w:rPr>
        <w:t xml:space="preserve">uro or </w:t>
      </w:r>
      <w:r w:rsidR="007616DB" w:rsidRPr="00104E84">
        <w:rPr>
          <w:rFonts w:ascii="Times New Roman" w:hAnsi="Times New Roman" w:cs="Times New Roman"/>
          <w:lang w:val="en-US"/>
        </w:rPr>
        <w:t>the banking union</w:t>
      </w:r>
      <w:r w:rsidR="00CB791D" w:rsidRPr="00104E84">
        <w:rPr>
          <w:rFonts w:ascii="Times New Roman" w:hAnsi="Times New Roman" w:cs="Times New Roman"/>
          <w:lang w:val="en-US"/>
        </w:rPr>
        <w:t xml:space="preserve">. </w:t>
      </w:r>
    </w:p>
    <w:p w14:paraId="2488F52B" w14:textId="50AFA490" w:rsidR="00EE1ED3" w:rsidRPr="00CF2618" w:rsidRDefault="00221EB0" w:rsidP="00CA08D4">
      <w:pPr>
        <w:spacing w:line="360" w:lineRule="auto"/>
        <w:ind w:firstLine="708"/>
        <w:jc w:val="both"/>
        <w:rPr>
          <w:rFonts w:ascii="Times New Roman" w:hAnsi="Times New Roman" w:cs="Times New Roman"/>
          <w:lang w:val="en-US"/>
        </w:rPr>
      </w:pPr>
      <w:r w:rsidRPr="00104E84">
        <w:rPr>
          <w:rFonts w:ascii="Times New Roman" w:hAnsi="Times New Roman" w:cs="Times New Roman"/>
          <w:lang w:val="en-US"/>
        </w:rPr>
        <w:t xml:space="preserve">Part of the reason </w:t>
      </w:r>
      <w:r w:rsidR="006B5D17">
        <w:rPr>
          <w:rFonts w:ascii="Times New Roman" w:hAnsi="Times New Roman" w:cs="Times New Roman"/>
          <w:lang w:val="en-US"/>
        </w:rPr>
        <w:t xml:space="preserve">why the campaign was not focused on the merits of the EU as such </w:t>
      </w:r>
      <w:r w:rsidRPr="00104E84">
        <w:rPr>
          <w:rFonts w:ascii="Times New Roman" w:hAnsi="Times New Roman" w:cs="Times New Roman"/>
          <w:lang w:val="en-US"/>
        </w:rPr>
        <w:t xml:space="preserve">was probably that there </w:t>
      </w:r>
      <w:r w:rsidR="00863F37" w:rsidRPr="00104E84">
        <w:rPr>
          <w:rFonts w:ascii="Times New Roman" w:hAnsi="Times New Roman" w:cs="Times New Roman"/>
          <w:lang w:val="en-US"/>
        </w:rPr>
        <w:t>is</w:t>
      </w:r>
      <w:r w:rsidRPr="00104E84">
        <w:rPr>
          <w:rFonts w:ascii="Times New Roman" w:hAnsi="Times New Roman" w:cs="Times New Roman"/>
          <w:lang w:val="en-US"/>
        </w:rPr>
        <w:t xml:space="preserve"> no true/dedicated, vocal Eurosceptic party in Denmark. The radical left party, the Red-Green Alliance, </w:t>
      </w:r>
      <w:r w:rsidR="00863F37" w:rsidRPr="00104E84">
        <w:rPr>
          <w:rFonts w:ascii="Times New Roman" w:hAnsi="Times New Roman" w:cs="Times New Roman"/>
          <w:lang w:val="en-US"/>
        </w:rPr>
        <w:t>is</w:t>
      </w:r>
      <w:r w:rsidRPr="00104E84">
        <w:rPr>
          <w:rFonts w:ascii="Times New Roman" w:hAnsi="Times New Roman" w:cs="Times New Roman"/>
          <w:lang w:val="en-US"/>
        </w:rPr>
        <w:t xml:space="preserve"> the most critical voice </w:t>
      </w:r>
      <w:r w:rsidR="00863F37" w:rsidRPr="00104E84">
        <w:rPr>
          <w:rFonts w:ascii="Times New Roman" w:hAnsi="Times New Roman" w:cs="Times New Roman"/>
          <w:lang w:val="en-US"/>
        </w:rPr>
        <w:t>against</w:t>
      </w:r>
      <w:r w:rsidRPr="00104E84">
        <w:rPr>
          <w:rFonts w:ascii="Times New Roman" w:hAnsi="Times New Roman" w:cs="Times New Roman"/>
          <w:lang w:val="en-US"/>
        </w:rPr>
        <w:t xml:space="preserve"> the EU together with the radical right party, the Danish People’s Party</w:t>
      </w:r>
      <w:r w:rsidR="00133256" w:rsidRPr="00104E84">
        <w:rPr>
          <w:rFonts w:ascii="Times New Roman" w:hAnsi="Times New Roman" w:cs="Times New Roman"/>
          <w:lang w:val="en-US"/>
        </w:rPr>
        <w:t xml:space="preserve"> (Kölln and Seeberg 2019)</w:t>
      </w:r>
      <w:r w:rsidRPr="00104E84">
        <w:rPr>
          <w:rFonts w:ascii="Times New Roman" w:hAnsi="Times New Roman" w:cs="Times New Roman"/>
          <w:lang w:val="en-US"/>
        </w:rPr>
        <w:t>.</w:t>
      </w:r>
      <w:r w:rsidR="00E008B2" w:rsidRPr="00104E84">
        <w:rPr>
          <w:rStyle w:val="Fodnotehenvisning"/>
          <w:rFonts w:ascii="Times New Roman" w:hAnsi="Times New Roman" w:cs="Times New Roman"/>
        </w:rPr>
        <w:footnoteReference w:id="2"/>
      </w:r>
      <w:r w:rsidRPr="00104E84">
        <w:rPr>
          <w:rFonts w:ascii="Times New Roman" w:hAnsi="Times New Roman" w:cs="Times New Roman"/>
          <w:lang w:val="en-US"/>
        </w:rPr>
        <w:t xml:space="preserve"> </w:t>
      </w:r>
      <w:r w:rsidR="0022450C">
        <w:rPr>
          <w:rFonts w:ascii="Times New Roman" w:hAnsi="Times New Roman" w:cs="Times New Roman"/>
          <w:lang w:val="en-US"/>
        </w:rPr>
        <w:t xml:space="preserve">These </w:t>
      </w:r>
      <w:r w:rsidR="00F826CA">
        <w:rPr>
          <w:rFonts w:ascii="Times New Roman" w:hAnsi="Times New Roman" w:cs="Times New Roman"/>
          <w:lang w:val="en-US"/>
        </w:rPr>
        <w:t>two parties are antagonist</w:t>
      </w:r>
      <w:r w:rsidR="0022450C">
        <w:rPr>
          <w:rFonts w:ascii="Times New Roman" w:hAnsi="Times New Roman" w:cs="Times New Roman"/>
          <w:lang w:val="en-US"/>
        </w:rPr>
        <w:t>ic</w:t>
      </w:r>
      <w:r w:rsidR="00F826CA">
        <w:rPr>
          <w:rFonts w:ascii="Times New Roman" w:hAnsi="Times New Roman" w:cs="Times New Roman"/>
          <w:lang w:val="en-US"/>
        </w:rPr>
        <w:t xml:space="preserve"> </w:t>
      </w:r>
      <w:r w:rsidR="0022450C">
        <w:rPr>
          <w:rFonts w:ascii="Times New Roman" w:hAnsi="Times New Roman" w:cs="Times New Roman"/>
          <w:lang w:val="en-US"/>
        </w:rPr>
        <w:t>in all policy areas</w:t>
      </w:r>
      <w:r w:rsidR="00F826CA">
        <w:rPr>
          <w:rFonts w:ascii="Times New Roman" w:hAnsi="Times New Roman" w:cs="Times New Roman"/>
          <w:lang w:val="en-US"/>
        </w:rPr>
        <w:t xml:space="preserve"> </w:t>
      </w:r>
      <w:r w:rsidR="0022450C">
        <w:rPr>
          <w:rFonts w:ascii="Times New Roman" w:hAnsi="Times New Roman" w:cs="Times New Roman"/>
          <w:lang w:val="en-US"/>
        </w:rPr>
        <w:t xml:space="preserve">other </w:t>
      </w:r>
      <w:r w:rsidR="00F826CA">
        <w:rPr>
          <w:rFonts w:ascii="Times New Roman" w:hAnsi="Times New Roman" w:cs="Times New Roman"/>
          <w:lang w:val="en-US"/>
        </w:rPr>
        <w:t xml:space="preserve">than the </w:t>
      </w:r>
      <w:r w:rsidR="0022450C">
        <w:rPr>
          <w:rFonts w:ascii="Times New Roman" w:hAnsi="Times New Roman" w:cs="Times New Roman"/>
          <w:lang w:val="en-US"/>
        </w:rPr>
        <w:t xml:space="preserve">European integration, yet </w:t>
      </w:r>
      <w:r w:rsidR="00CA08D4">
        <w:rPr>
          <w:rFonts w:ascii="Times New Roman" w:hAnsi="Times New Roman" w:cs="Times New Roman"/>
          <w:lang w:val="en-US"/>
        </w:rPr>
        <w:t xml:space="preserve">it is important to note that the level of Euroscepticism of neither party comes anywhere near close to that of, for example, the British </w:t>
      </w:r>
      <w:proofErr w:type="spellStart"/>
      <w:r w:rsidR="00CA08D4">
        <w:rPr>
          <w:rFonts w:ascii="Times New Roman" w:hAnsi="Times New Roman" w:cs="Times New Roman"/>
          <w:lang w:val="en-US"/>
        </w:rPr>
        <w:t>Brexit</w:t>
      </w:r>
      <w:proofErr w:type="spellEnd"/>
      <w:r w:rsidR="00CA08D4">
        <w:rPr>
          <w:rFonts w:ascii="Times New Roman" w:hAnsi="Times New Roman" w:cs="Times New Roman"/>
          <w:lang w:val="en-US"/>
        </w:rPr>
        <w:t xml:space="preserve"> party</w:t>
      </w:r>
      <w:r w:rsidR="0022450C">
        <w:rPr>
          <w:rFonts w:ascii="Times New Roman" w:hAnsi="Times New Roman" w:cs="Times New Roman"/>
          <w:lang w:val="en-US"/>
        </w:rPr>
        <w:t xml:space="preserve">. </w:t>
      </w:r>
      <w:r w:rsidRPr="00CF2618">
        <w:rPr>
          <w:rFonts w:ascii="Times New Roman" w:hAnsi="Times New Roman" w:cs="Times New Roman"/>
          <w:lang w:val="en-US"/>
        </w:rPr>
        <w:t>In terms of party competition, this creates some odd bedfellows because two antagonist</w:t>
      </w:r>
      <w:r w:rsidR="00CF2618">
        <w:rPr>
          <w:rFonts w:ascii="Times New Roman" w:hAnsi="Times New Roman" w:cs="Times New Roman"/>
          <w:lang w:val="en-US"/>
        </w:rPr>
        <w:t>s</w:t>
      </w:r>
      <w:r w:rsidRPr="00CF2618">
        <w:rPr>
          <w:rFonts w:ascii="Times New Roman" w:hAnsi="Times New Roman" w:cs="Times New Roman"/>
          <w:lang w:val="en-US"/>
        </w:rPr>
        <w:t xml:space="preserve"> </w:t>
      </w:r>
      <w:r w:rsidR="00863F37" w:rsidRPr="00CF2618">
        <w:rPr>
          <w:rFonts w:ascii="Times New Roman" w:hAnsi="Times New Roman" w:cs="Times New Roman"/>
          <w:lang w:val="en-US"/>
        </w:rPr>
        <w:t xml:space="preserve">on opposite sides of the political spectrum </w:t>
      </w:r>
      <w:r w:rsidRPr="00CF2618">
        <w:rPr>
          <w:rFonts w:ascii="Times New Roman" w:hAnsi="Times New Roman" w:cs="Times New Roman"/>
          <w:lang w:val="en-US"/>
        </w:rPr>
        <w:t xml:space="preserve">would have to team up </w:t>
      </w:r>
      <w:r w:rsidR="00CF2618">
        <w:rPr>
          <w:rFonts w:ascii="Times New Roman" w:hAnsi="Times New Roman" w:cs="Times New Roman"/>
          <w:lang w:val="en-US"/>
        </w:rPr>
        <w:t xml:space="preserve">to form an anti-EU alliance, </w:t>
      </w:r>
      <w:r w:rsidRPr="00CF2618">
        <w:rPr>
          <w:rFonts w:ascii="Times New Roman" w:hAnsi="Times New Roman" w:cs="Times New Roman"/>
          <w:lang w:val="en-US"/>
        </w:rPr>
        <w:t xml:space="preserve">and the mainstream centre-right and centre-left would have to join forces as </w:t>
      </w:r>
      <w:r w:rsidR="00CA08D4">
        <w:rPr>
          <w:rFonts w:ascii="Times New Roman" w:hAnsi="Times New Roman" w:cs="Times New Roman"/>
          <w:lang w:val="en-US"/>
        </w:rPr>
        <w:t>to form a</w:t>
      </w:r>
      <w:r w:rsidR="00CF2618">
        <w:rPr>
          <w:rFonts w:ascii="Times New Roman" w:hAnsi="Times New Roman" w:cs="Times New Roman"/>
          <w:lang w:val="en-US"/>
        </w:rPr>
        <w:t xml:space="preserve"> pro-EU coalition</w:t>
      </w:r>
      <w:r w:rsidR="000848B4" w:rsidRPr="00CF2618">
        <w:rPr>
          <w:rFonts w:ascii="Times New Roman" w:hAnsi="Times New Roman" w:cs="Times New Roman"/>
          <w:lang w:val="en-US"/>
        </w:rPr>
        <w:t xml:space="preserve"> (together with the Social Liberals)</w:t>
      </w:r>
      <w:r w:rsidRPr="00CF2618">
        <w:rPr>
          <w:rFonts w:ascii="Times New Roman" w:hAnsi="Times New Roman" w:cs="Times New Roman"/>
          <w:lang w:val="en-US"/>
        </w:rPr>
        <w:t>. Hence, party competition on the EU issue is generally absent</w:t>
      </w:r>
      <w:r w:rsidR="00F826CA">
        <w:rPr>
          <w:rFonts w:ascii="Times New Roman" w:hAnsi="Times New Roman" w:cs="Times New Roman"/>
          <w:lang w:val="en-US"/>
        </w:rPr>
        <w:t xml:space="preserve"> in Denmark</w:t>
      </w:r>
      <w:r w:rsidR="000848B4" w:rsidRPr="00CF2618">
        <w:rPr>
          <w:rFonts w:ascii="Times New Roman" w:hAnsi="Times New Roman" w:cs="Times New Roman"/>
          <w:lang w:val="en-US"/>
        </w:rPr>
        <w:t>. O</w:t>
      </w:r>
      <w:r w:rsidRPr="00CF2618">
        <w:rPr>
          <w:rFonts w:ascii="Times New Roman" w:hAnsi="Times New Roman" w:cs="Times New Roman"/>
          <w:lang w:val="en-US"/>
        </w:rPr>
        <w:t>utside EU referenda, the EU issue receives very little attention</w:t>
      </w:r>
      <w:r w:rsidR="00E008B2" w:rsidRPr="00CF2618">
        <w:rPr>
          <w:rFonts w:ascii="Times New Roman" w:hAnsi="Times New Roman" w:cs="Times New Roman"/>
          <w:lang w:val="en-US"/>
        </w:rPr>
        <w:t xml:space="preserve"> </w:t>
      </w:r>
      <w:r w:rsidR="00D077EB" w:rsidRPr="00304FD6">
        <w:rPr>
          <w:rFonts w:ascii="Times New Roman" w:hAnsi="Times New Roman" w:cs="Times New Roman"/>
          <w:lang w:val="en-US"/>
        </w:rPr>
        <w:fldChar w:fldCharType="begin"/>
      </w:r>
      <w:r w:rsidR="00D077EB" w:rsidRPr="00CF2618">
        <w:rPr>
          <w:rFonts w:ascii="Times New Roman" w:hAnsi="Times New Roman" w:cs="Times New Roman"/>
          <w:lang w:val="en-US"/>
        </w:rPr>
        <w:instrText xml:space="preserve"> ADDIN ZOTERO_ITEM CSL_CITATION {"citationID":"MK5T6Xxf","properties":{"formattedCitation":"(Green-Pedersen 2012; Senninger 2017)","plainCitation":"(Green-Pedersen 2012; Senninger 2017)","noteIndex":0},"citationItems":[{"id":1698,"uris":["http://zotero.org/users/local/OrPYDAKz/items/CKNC6TWI"],"uri":["http://zotero.org/users/local/OrPYDAKz/items/CKNC6TWI"],"itemData":{"id":1698,"type":"article-journal","title":"A Giant fast Asleep? Party Incentives and Politicization of European Integration","container-title":"Political Studies","page":"115–130","volume":"60","issue":"1","author":[{"family":"Green-Pedersen","given":"C."}],"issued":{"date-parts":[["2012"]]}}},{"id":2653,"uris":["http://zotero.org/users/local/OrPYDAKz/items/PAAG9NJU"],"uri":["http://zotero.org/users/local/OrPYDAKz/items/PAAG9NJU"],"itemData":{"id":2653,"type":"article-journal","title":"Issue expansion and selective scrutiny – how opposition parties used parliamentary questions about the European Union in the national arena from 1973 to 2013","container-title":"European Union Politics","page":"283-306","volume":"18","issue":"2","source":"DOI.org (Crossref)","DOI":"10.1177/1465116516662155","ISSN":"1465-1165, 1741-2757","journalAbbreviation":"European Union Politics","language":"en","author":[{"family":"Senninger","given":"Roman"}],"issued":{"date-parts":[["2017",6]]}}}],"schema":"https://github.com/citation-style-language/schema/raw/master/csl-citation.json"} </w:instrText>
      </w:r>
      <w:r w:rsidR="00D077EB" w:rsidRPr="00304FD6">
        <w:rPr>
          <w:rFonts w:ascii="Times New Roman" w:hAnsi="Times New Roman" w:cs="Times New Roman"/>
          <w:lang w:val="en-US"/>
        </w:rPr>
        <w:fldChar w:fldCharType="separate"/>
      </w:r>
      <w:r w:rsidR="00D077EB" w:rsidRPr="00CF2618">
        <w:rPr>
          <w:rFonts w:ascii="Times New Roman" w:hAnsi="Times New Roman" w:cs="Times New Roman"/>
          <w:lang w:val="en-US"/>
        </w:rPr>
        <w:t>(Green-Pedersen 2012; Senninger 2017)</w:t>
      </w:r>
      <w:r w:rsidR="00D077EB" w:rsidRPr="00304FD6">
        <w:rPr>
          <w:rFonts w:ascii="Times New Roman" w:hAnsi="Times New Roman" w:cs="Times New Roman"/>
          <w:lang w:val="en-US"/>
        </w:rPr>
        <w:fldChar w:fldCharType="end"/>
      </w:r>
      <w:r w:rsidRPr="00CF2618">
        <w:rPr>
          <w:rFonts w:ascii="Times New Roman" w:hAnsi="Times New Roman" w:cs="Times New Roman"/>
          <w:lang w:val="en-US"/>
        </w:rPr>
        <w:t>.</w:t>
      </w:r>
      <w:r w:rsidR="007616DB" w:rsidRPr="00CF2618">
        <w:rPr>
          <w:rFonts w:ascii="Times New Roman" w:hAnsi="Times New Roman" w:cs="Times New Roman"/>
          <w:lang w:val="en-US"/>
        </w:rPr>
        <w:t xml:space="preserve"> This was also the case in the 2019 EP election.</w:t>
      </w:r>
      <w:r w:rsidRPr="00CF2618">
        <w:rPr>
          <w:rFonts w:ascii="Times New Roman" w:hAnsi="Times New Roman" w:cs="Times New Roman"/>
          <w:lang w:val="en-US"/>
        </w:rPr>
        <w:t xml:space="preserve"> Moreover, d</w:t>
      </w:r>
      <w:r w:rsidR="00EE1ED3" w:rsidRPr="00CF2618">
        <w:rPr>
          <w:rFonts w:ascii="Times New Roman" w:hAnsi="Times New Roman" w:cs="Times New Roman"/>
          <w:lang w:val="en-US"/>
        </w:rPr>
        <w:t>espite the Danish Commission</w:t>
      </w:r>
      <w:r w:rsidR="00F826CA">
        <w:rPr>
          <w:rFonts w:ascii="Times New Roman" w:hAnsi="Times New Roman" w:cs="Times New Roman"/>
          <w:lang w:val="en-US"/>
        </w:rPr>
        <w:t>er</w:t>
      </w:r>
      <w:r w:rsidR="00EE1ED3" w:rsidRPr="00CF2618">
        <w:rPr>
          <w:rFonts w:ascii="Times New Roman" w:hAnsi="Times New Roman" w:cs="Times New Roman"/>
          <w:lang w:val="en-US"/>
        </w:rPr>
        <w:t xml:space="preserve"> for Competition and Trade, Margrethe </w:t>
      </w:r>
      <w:proofErr w:type="spellStart"/>
      <w:r w:rsidR="00EE1ED3" w:rsidRPr="00CF2618">
        <w:rPr>
          <w:rFonts w:ascii="Times New Roman" w:hAnsi="Times New Roman" w:cs="Times New Roman"/>
          <w:lang w:val="en-US"/>
        </w:rPr>
        <w:t>Vestager’s</w:t>
      </w:r>
      <w:proofErr w:type="spellEnd"/>
      <w:r w:rsidR="00EE1ED3" w:rsidRPr="00CF2618">
        <w:rPr>
          <w:rFonts w:ascii="Times New Roman" w:hAnsi="Times New Roman" w:cs="Times New Roman"/>
          <w:lang w:val="en-US"/>
        </w:rPr>
        <w:t xml:space="preserve"> candidacy to head the European </w:t>
      </w:r>
      <w:r w:rsidR="000848B4" w:rsidRPr="00CF2618">
        <w:rPr>
          <w:rFonts w:ascii="Times New Roman" w:hAnsi="Times New Roman" w:cs="Times New Roman"/>
          <w:lang w:val="en-US"/>
        </w:rPr>
        <w:t>Commission</w:t>
      </w:r>
      <w:r w:rsidR="00EE1ED3" w:rsidRPr="00CF2618">
        <w:rPr>
          <w:rFonts w:ascii="Times New Roman" w:hAnsi="Times New Roman" w:cs="Times New Roman"/>
          <w:lang w:val="en-US"/>
        </w:rPr>
        <w:t xml:space="preserve">, the </w:t>
      </w:r>
      <w:r w:rsidR="00304FD6">
        <w:rPr>
          <w:rFonts w:ascii="Times New Roman" w:hAnsi="Times New Roman" w:cs="Times New Roman"/>
          <w:lang w:val="en-US"/>
        </w:rPr>
        <w:t xml:space="preserve">European </w:t>
      </w:r>
      <w:r w:rsidR="00EE1ED3" w:rsidRPr="00CF2618">
        <w:rPr>
          <w:rFonts w:ascii="Times New Roman" w:hAnsi="Times New Roman" w:cs="Times New Roman"/>
          <w:lang w:val="en-US"/>
        </w:rPr>
        <w:t>‘</w:t>
      </w:r>
      <w:proofErr w:type="spellStart"/>
      <w:r w:rsidR="00EE1ED3" w:rsidRPr="00CF2618">
        <w:rPr>
          <w:rFonts w:ascii="Times New Roman" w:hAnsi="Times New Roman" w:cs="Times New Roman"/>
          <w:lang w:val="en-US"/>
        </w:rPr>
        <w:t>Spitzenkandidate</w:t>
      </w:r>
      <w:r w:rsidR="00304FD6">
        <w:rPr>
          <w:rFonts w:ascii="Times New Roman" w:hAnsi="Times New Roman" w:cs="Times New Roman"/>
          <w:lang w:val="en-US"/>
        </w:rPr>
        <w:t>n</w:t>
      </w:r>
      <w:proofErr w:type="spellEnd"/>
      <w:r w:rsidR="00EE1ED3" w:rsidRPr="00CF2618">
        <w:rPr>
          <w:rFonts w:ascii="Times New Roman" w:hAnsi="Times New Roman" w:cs="Times New Roman"/>
          <w:lang w:val="en-US"/>
        </w:rPr>
        <w:t xml:space="preserve">’ contest </w:t>
      </w:r>
      <w:r w:rsidR="00304FD6">
        <w:rPr>
          <w:rFonts w:ascii="Times New Roman" w:hAnsi="Times New Roman" w:cs="Times New Roman"/>
          <w:lang w:val="en-US"/>
        </w:rPr>
        <w:t xml:space="preserve">– to potentially become President of the next European Commission – </w:t>
      </w:r>
      <w:r w:rsidR="00EE1ED3" w:rsidRPr="00CF2618">
        <w:rPr>
          <w:rFonts w:ascii="Times New Roman" w:hAnsi="Times New Roman" w:cs="Times New Roman"/>
          <w:lang w:val="en-US"/>
        </w:rPr>
        <w:t xml:space="preserve">was only a minor issue in the EP election campaign in Denmark. </w:t>
      </w:r>
    </w:p>
    <w:p w14:paraId="6E7F2F09" w14:textId="37ECD36F" w:rsidR="00B80DB7" w:rsidRPr="0071122A" w:rsidRDefault="007616DB" w:rsidP="00D65227">
      <w:pPr>
        <w:spacing w:line="360" w:lineRule="auto"/>
        <w:ind w:firstLine="708"/>
        <w:jc w:val="both"/>
        <w:rPr>
          <w:rFonts w:ascii="Times New Roman" w:hAnsi="Times New Roman" w:cs="Times New Roman"/>
          <w:lang w:val="en-US"/>
        </w:rPr>
      </w:pPr>
      <w:r w:rsidRPr="00CF2618">
        <w:rPr>
          <w:rFonts w:ascii="Times New Roman" w:hAnsi="Times New Roman" w:cs="Times New Roman"/>
          <w:lang w:val="en-US"/>
        </w:rPr>
        <w:t>Despite this general lack of interest in the EU among the parties in the Danish parliament,</w:t>
      </w:r>
      <w:r w:rsidR="00E46A74" w:rsidRPr="00CF2618">
        <w:rPr>
          <w:rFonts w:ascii="Times New Roman" w:hAnsi="Times New Roman" w:cs="Times New Roman"/>
          <w:lang w:val="en-US"/>
        </w:rPr>
        <w:t xml:space="preserve"> several of the large</w:t>
      </w:r>
      <w:r w:rsidRPr="00CF2618">
        <w:rPr>
          <w:rFonts w:ascii="Times New Roman" w:hAnsi="Times New Roman" w:cs="Times New Roman"/>
          <w:lang w:val="en-US"/>
        </w:rPr>
        <w:t>r</w:t>
      </w:r>
      <w:r w:rsidR="00E46A74" w:rsidRPr="00CF2618">
        <w:rPr>
          <w:rFonts w:ascii="Times New Roman" w:hAnsi="Times New Roman" w:cs="Times New Roman"/>
          <w:lang w:val="en-US"/>
        </w:rPr>
        <w:t xml:space="preserve"> parties were represented by highly popular and very well-known candidates.</w:t>
      </w:r>
      <w:r w:rsidR="00541F60" w:rsidRPr="00304FD6">
        <w:rPr>
          <w:rStyle w:val="Fodnotehenvisning"/>
          <w:rFonts w:ascii="Times New Roman" w:hAnsi="Times New Roman" w:cs="Times New Roman"/>
        </w:rPr>
        <w:footnoteReference w:id="3"/>
      </w:r>
      <w:r w:rsidR="00E46A74" w:rsidRPr="00304FD6">
        <w:rPr>
          <w:rFonts w:ascii="Times New Roman" w:hAnsi="Times New Roman" w:cs="Times New Roman"/>
          <w:lang w:val="en-US"/>
        </w:rPr>
        <w:t xml:space="preserve"> </w:t>
      </w:r>
      <w:r w:rsidR="00541F60" w:rsidRPr="00304FD6">
        <w:rPr>
          <w:rFonts w:ascii="Times New Roman" w:hAnsi="Times New Roman" w:cs="Times New Roman"/>
          <w:lang w:val="en-US"/>
        </w:rPr>
        <w:t xml:space="preserve">Among the 14 Danish seats to the European Parliament, the top </w:t>
      </w:r>
      <w:r w:rsidR="00296654" w:rsidRPr="00304FD6">
        <w:rPr>
          <w:rFonts w:ascii="Times New Roman" w:hAnsi="Times New Roman" w:cs="Times New Roman"/>
          <w:lang w:val="en-US"/>
        </w:rPr>
        <w:t>four</w:t>
      </w:r>
      <w:r w:rsidR="00541F60" w:rsidRPr="00304FD6">
        <w:rPr>
          <w:rFonts w:ascii="Times New Roman" w:hAnsi="Times New Roman" w:cs="Times New Roman"/>
          <w:lang w:val="en-US"/>
        </w:rPr>
        <w:t xml:space="preserve"> candidates </w:t>
      </w:r>
      <w:r w:rsidR="00EE1ED3" w:rsidRPr="00304FD6">
        <w:rPr>
          <w:rFonts w:ascii="Times New Roman" w:hAnsi="Times New Roman" w:cs="Times New Roman"/>
          <w:lang w:val="en-US"/>
        </w:rPr>
        <w:t xml:space="preserve">each </w:t>
      </w:r>
      <w:r w:rsidR="00541F60" w:rsidRPr="00304FD6">
        <w:rPr>
          <w:rFonts w:ascii="Times New Roman" w:hAnsi="Times New Roman" w:cs="Times New Roman"/>
          <w:lang w:val="en-US"/>
        </w:rPr>
        <w:t>received close to 200,000 personal votes (</w:t>
      </w:r>
      <w:r w:rsidR="00296654" w:rsidRPr="00304FD6">
        <w:rPr>
          <w:rFonts w:ascii="Times New Roman" w:hAnsi="Times New Roman" w:cs="Times New Roman"/>
          <w:lang w:val="en-US"/>
        </w:rPr>
        <w:t>almost 10</w:t>
      </w:r>
      <w:r w:rsidR="00541F60" w:rsidRPr="00304FD6">
        <w:rPr>
          <w:rFonts w:ascii="Times New Roman" w:hAnsi="Times New Roman" w:cs="Times New Roman"/>
          <w:lang w:val="en-US"/>
        </w:rPr>
        <w:t>% of the votes)</w:t>
      </w:r>
      <w:r w:rsidRPr="00304FD6">
        <w:rPr>
          <w:rFonts w:ascii="Times New Roman" w:hAnsi="Times New Roman" w:cs="Times New Roman"/>
          <w:lang w:val="en-US"/>
        </w:rPr>
        <w:t xml:space="preserve"> – this is highly unusual in Danish national elections where, for instance, the incoming Prime Minister, Mette </w:t>
      </w:r>
      <w:proofErr w:type="spellStart"/>
      <w:r w:rsidRPr="00304FD6">
        <w:rPr>
          <w:rFonts w:ascii="Times New Roman" w:hAnsi="Times New Roman" w:cs="Times New Roman"/>
          <w:lang w:val="en-US"/>
        </w:rPr>
        <w:t>Frederiksen</w:t>
      </w:r>
      <w:proofErr w:type="spellEnd"/>
      <w:r w:rsidRPr="00304FD6">
        <w:rPr>
          <w:rFonts w:ascii="Times New Roman" w:hAnsi="Times New Roman" w:cs="Times New Roman"/>
          <w:lang w:val="en-US"/>
        </w:rPr>
        <w:t xml:space="preserve">, and the exiting Prime Minister, Lars </w:t>
      </w:r>
      <w:proofErr w:type="spellStart"/>
      <w:r w:rsidRPr="00304FD6">
        <w:rPr>
          <w:rFonts w:ascii="Times New Roman" w:hAnsi="Times New Roman" w:cs="Times New Roman"/>
          <w:lang w:val="en-US"/>
        </w:rPr>
        <w:t>Løkke</w:t>
      </w:r>
      <w:proofErr w:type="spellEnd"/>
      <w:r w:rsidRPr="00304FD6">
        <w:rPr>
          <w:rFonts w:ascii="Times New Roman" w:hAnsi="Times New Roman" w:cs="Times New Roman"/>
          <w:lang w:val="en-US"/>
        </w:rPr>
        <w:t xml:space="preserve"> Rasmussen, each received </w:t>
      </w:r>
      <w:r w:rsidR="0071122A">
        <w:rPr>
          <w:rFonts w:ascii="Times New Roman" w:hAnsi="Times New Roman" w:cs="Times New Roman"/>
          <w:lang w:val="en-US"/>
        </w:rPr>
        <w:t xml:space="preserve">only </w:t>
      </w:r>
      <w:r w:rsidRPr="00304FD6">
        <w:rPr>
          <w:rFonts w:ascii="Times New Roman" w:hAnsi="Times New Roman" w:cs="Times New Roman"/>
          <w:lang w:val="en-US"/>
        </w:rPr>
        <w:t>around 40,000 personal votes in the national election</w:t>
      </w:r>
      <w:r w:rsidR="00541F60" w:rsidRPr="00304FD6">
        <w:rPr>
          <w:rFonts w:ascii="Times New Roman" w:hAnsi="Times New Roman" w:cs="Times New Roman"/>
          <w:lang w:val="en-US"/>
        </w:rPr>
        <w:t xml:space="preserve">. </w:t>
      </w:r>
      <w:r w:rsidR="00852DC0" w:rsidRPr="00304FD6">
        <w:rPr>
          <w:rFonts w:ascii="Times New Roman" w:hAnsi="Times New Roman" w:cs="Times New Roman"/>
          <w:lang w:val="en-US"/>
        </w:rPr>
        <w:t xml:space="preserve">Hence, voters </w:t>
      </w:r>
      <w:r w:rsidR="002C14AE" w:rsidRPr="00304FD6">
        <w:rPr>
          <w:rFonts w:ascii="Times New Roman" w:hAnsi="Times New Roman" w:cs="Times New Roman"/>
          <w:lang w:val="en-US"/>
        </w:rPr>
        <w:t xml:space="preserve">probably relied </w:t>
      </w:r>
      <w:r w:rsidRPr="00304FD6">
        <w:rPr>
          <w:rFonts w:ascii="Times New Roman" w:hAnsi="Times New Roman" w:cs="Times New Roman"/>
          <w:lang w:val="en-US"/>
        </w:rPr>
        <w:t xml:space="preserve">heavily </w:t>
      </w:r>
      <w:r w:rsidR="002C14AE" w:rsidRPr="00304FD6">
        <w:rPr>
          <w:rFonts w:ascii="Times New Roman" w:hAnsi="Times New Roman" w:cs="Times New Roman"/>
          <w:lang w:val="en-US"/>
        </w:rPr>
        <w:t xml:space="preserve">on </w:t>
      </w:r>
      <w:r w:rsidR="006B5D17">
        <w:rPr>
          <w:rFonts w:ascii="Times New Roman" w:hAnsi="Times New Roman" w:cs="Times New Roman"/>
          <w:lang w:val="en-US"/>
        </w:rPr>
        <w:t xml:space="preserve">the candidate gallery </w:t>
      </w:r>
      <w:r w:rsidRPr="0071122A">
        <w:rPr>
          <w:rFonts w:ascii="Times New Roman" w:hAnsi="Times New Roman" w:cs="Times New Roman"/>
          <w:lang w:val="en-US"/>
        </w:rPr>
        <w:t xml:space="preserve">as a heuristic to make up their mind in the EP election. </w:t>
      </w:r>
      <w:r w:rsidR="00852DC0" w:rsidRPr="0071122A">
        <w:rPr>
          <w:rFonts w:ascii="Times New Roman" w:hAnsi="Times New Roman" w:cs="Times New Roman"/>
          <w:lang w:val="en-US"/>
        </w:rPr>
        <w:t xml:space="preserve">Finally, the 2019 EP Election in Denmark will be remembered for </w:t>
      </w:r>
      <w:r w:rsidR="00C32AE2" w:rsidRPr="0071122A">
        <w:rPr>
          <w:rFonts w:ascii="Times New Roman" w:hAnsi="Times New Roman" w:cs="Times New Roman"/>
          <w:lang w:val="en-US"/>
        </w:rPr>
        <w:t>its</w:t>
      </w:r>
      <w:r w:rsidR="00852DC0" w:rsidRPr="0071122A">
        <w:rPr>
          <w:rFonts w:ascii="Times New Roman" w:hAnsi="Times New Roman" w:cs="Times New Roman"/>
          <w:lang w:val="en-US"/>
        </w:rPr>
        <w:t xml:space="preserve"> historic</w:t>
      </w:r>
      <w:r w:rsidR="0071122A">
        <w:rPr>
          <w:rFonts w:ascii="Times New Roman" w:hAnsi="Times New Roman" w:cs="Times New Roman"/>
          <w:lang w:val="en-US"/>
        </w:rPr>
        <w:t>ally high</w:t>
      </w:r>
      <w:r w:rsidR="00852DC0" w:rsidRPr="0071122A">
        <w:rPr>
          <w:rFonts w:ascii="Times New Roman" w:hAnsi="Times New Roman" w:cs="Times New Roman"/>
          <w:lang w:val="en-US"/>
        </w:rPr>
        <w:t xml:space="preserve"> </w:t>
      </w:r>
      <w:r w:rsidR="00C32AE2" w:rsidRPr="0071122A">
        <w:rPr>
          <w:rFonts w:ascii="Times New Roman" w:hAnsi="Times New Roman" w:cs="Times New Roman"/>
          <w:lang w:val="en-US"/>
        </w:rPr>
        <w:t xml:space="preserve">turnout </w:t>
      </w:r>
      <w:r w:rsidR="00852DC0" w:rsidRPr="0071122A">
        <w:rPr>
          <w:rFonts w:ascii="Times New Roman" w:hAnsi="Times New Roman" w:cs="Times New Roman"/>
          <w:lang w:val="en-US"/>
        </w:rPr>
        <w:t xml:space="preserve">of </w:t>
      </w:r>
      <w:r w:rsidR="00924111" w:rsidRPr="0071122A">
        <w:rPr>
          <w:rFonts w:ascii="Times New Roman" w:hAnsi="Times New Roman" w:cs="Times New Roman"/>
          <w:lang w:val="en-US"/>
        </w:rPr>
        <w:t>66</w:t>
      </w:r>
      <w:r w:rsidR="00C32AE2" w:rsidRPr="0071122A">
        <w:rPr>
          <w:rFonts w:ascii="Times New Roman" w:hAnsi="Times New Roman" w:cs="Times New Roman"/>
          <w:lang w:val="en-US"/>
        </w:rPr>
        <w:t xml:space="preserve">% – even if this </w:t>
      </w:r>
      <w:r w:rsidR="0071122A">
        <w:rPr>
          <w:rFonts w:ascii="Times New Roman" w:hAnsi="Times New Roman" w:cs="Times New Roman"/>
          <w:lang w:val="en-US"/>
        </w:rPr>
        <w:t xml:space="preserve">still falls </w:t>
      </w:r>
      <w:r w:rsidR="00CA08D4">
        <w:rPr>
          <w:rFonts w:ascii="Times New Roman" w:hAnsi="Times New Roman" w:cs="Times New Roman"/>
          <w:lang w:val="en-US"/>
        </w:rPr>
        <w:t>far short of</w:t>
      </w:r>
      <w:r w:rsidR="00C32AE2" w:rsidRPr="0071122A">
        <w:rPr>
          <w:rFonts w:ascii="Times New Roman" w:hAnsi="Times New Roman" w:cs="Times New Roman"/>
          <w:lang w:val="en-US"/>
        </w:rPr>
        <w:t xml:space="preserve"> the usual turnout at national elections </w:t>
      </w:r>
      <w:r w:rsidR="0071122A">
        <w:rPr>
          <w:rFonts w:ascii="Times New Roman" w:hAnsi="Times New Roman" w:cs="Times New Roman"/>
          <w:lang w:val="en-US"/>
        </w:rPr>
        <w:t>of</w:t>
      </w:r>
      <w:r w:rsidR="00C32AE2" w:rsidRPr="0071122A">
        <w:rPr>
          <w:rFonts w:ascii="Times New Roman" w:hAnsi="Times New Roman" w:cs="Times New Roman"/>
          <w:lang w:val="en-US"/>
        </w:rPr>
        <w:t xml:space="preserve"> around 85%</w:t>
      </w:r>
      <w:r w:rsidR="00852DC0" w:rsidRPr="0071122A">
        <w:rPr>
          <w:rFonts w:ascii="Times New Roman" w:hAnsi="Times New Roman" w:cs="Times New Roman"/>
          <w:lang w:val="en-US"/>
        </w:rPr>
        <w:t xml:space="preserve">. </w:t>
      </w:r>
    </w:p>
    <w:p w14:paraId="71E263A2" w14:textId="0F5CE92C" w:rsidR="000D7C97" w:rsidRPr="0071122A" w:rsidRDefault="00696147" w:rsidP="000D7C97">
      <w:pPr>
        <w:spacing w:line="360" w:lineRule="auto"/>
        <w:ind w:firstLine="708"/>
        <w:jc w:val="both"/>
        <w:rPr>
          <w:rFonts w:ascii="Times New Roman" w:hAnsi="Times New Roman" w:cs="Times New Roman"/>
          <w:lang w:val="en-US"/>
        </w:rPr>
      </w:pPr>
      <w:r w:rsidRPr="0071122A">
        <w:rPr>
          <w:rFonts w:ascii="Times New Roman" w:hAnsi="Times New Roman" w:cs="Times New Roman"/>
          <w:lang w:val="en-US"/>
        </w:rPr>
        <w:t>Hence, a key question for analysis is to what extent the 2019 EP Election in Denmark was a first</w:t>
      </w:r>
      <w:r w:rsidR="0071122A">
        <w:rPr>
          <w:rFonts w:ascii="Times New Roman" w:hAnsi="Times New Roman" w:cs="Times New Roman"/>
          <w:lang w:val="en-US"/>
        </w:rPr>
        <w:t>-</w:t>
      </w:r>
      <w:r w:rsidRPr="0071122A">
        <w:rPr>
          <w:rFonts w:ascii="Times New Roman" w:hAnsi="Times New Roman" w:cs="Times New Roman"/>
          <w:lang w:val="en-US"/>
        </w:rPr>
        <w:t>order or a second</w:t>
      </w:r>
      <w:r w:rsidR="0071122A">
        <w:rPr>
          <w:rFonts w:ascii="Times New Roman" w:hAnsi="Times New Roman" w:cs="Times New Roman"/>
          <w:lang w:val="en-US"/>
        </w:rPr>
        <w:t>-</w:t>
      </w:r>
      <w:r w:rsidRPr="0071122A">
        <w:rPr>
          <w:rFonts w:ascii="Times New Roman" w:hAnsi="Times New Roman" w:cs="Times New Roman"/>
          <w:lang w:val="en-US"/>
        </w:rPr>
        <w:t>order election</w:t>
      </w:r>
      <w:r w:rsidR="0071122A">
        <w:rPr>
          <w:rFonts w:ascii="Times New Roman" w:hAnsi="Times New Roman" w:cs="Times New Roman"/>
          <w:lang w:val="en-US"/>
        </w:rPr>
        <w:t>, unusually embedded as it was within</w:t>
      </w:r>
      <w:r w:rsidRPr="0071122A">
        <w:rPr>
          <w:rFonts w:ascii="Times New Roman" w:hAnsi="Times New Roman" w:cs="Times New Roman"/>
          <w:lang w:val="en-US"/>
        </w:rPr>
        <w:t xml:space="preserve"> the 2019 national election</w:t>
      </w:r>
      <w:r w:rsidR="0071122A">
        <w:rPr>
          <w:rFonts w:ascii="Times New Roman" w:hAnsi="Times New Roman" w:cs="Times New Roman"/>
          <w:lang w:val="en-US"/>
        </w:rPr>
        <w:t xml:space="preserve"> campaign</w:t>
      </w:r>
      <w:r w:rsidRPr="0071122A">
        <w:rPr>
          <w:rFonts w:ascii="Times New Roman" w:hAnsi="Times New Roman" w:cs="Times New Roman"/>
          <w:lang w:val="en-US"/>
        </w:rPr>
        <w:t xml:space="preserve">. </w:t>
      </w:r>
      <w:r w:rsidR="0071122A">
        <w:rPr>
          <w:rFonts w:ascii="Times New Roman" w:hAnsi="Times New Roman" w:cs="Times New Roman"/>
          <w:lang w:val="en-US"/>
        </w:rPr>
        <w:t>To answer this question, we</w:t>
      </w:r>
      <w:r w:rsidR="0071122A" w:rsidRPr="0071122A">
        <w:rPr>
          <w:rFonts w:ascii="Times New Roman" w:hAnsi="Times New Roman" w:cs="Times New Roman"/>
          <w:lang w:val="en-US"/>
        </w:rPr>
        <w:t xml:space="preserve"> </w:t>
      </w:r>
      <w:r w:rsidRPr="0071122A">
        <w:rPr>
          <w:rFonts w:ascii="Times New Roman" w:hAnsi="Times New Roman" w:cs="Times New Roman"/>
          <w:lang w:val="en-US"/>
        </w:rPr>
        <w:t xml:space="preserve">draw on new data from the RECONNECT 2019 </w:t>
      </w:r>
      <w:r w:rsidR="0071122A">
        <w:rPr>
          <w:rFonts w:ascii="Times New Roman" w:hAnsi="Times New Roman" w:cs="Times New Roman"/>
          <w:lang w:val="en-US"/>
        </w:rPr>
        <w:t>EP election citizen-level survey</w:t>
      </w:r>
      <w:r w:rsidRPr="0071122A">
        <w:rPr>
          <w:rFonts w:ascii="Times New Roman" w:hAnsi="Times New Roman" w:cs="Times New Roman"/>
          <w:lang w:val="en-US"/>
        </w:rPr>
        <w:t xml:space="preserve"> to shed light on Danish voters’ interest in the EP election, their issue priorities, and </w:t>
      </w:r>
      <w:r w:rsidR="0071122A">
        <w:rPr>
          <w:rFonts w:ascii="Times New Roman" w:hAnsi="Times New Roman" w:cs="Times New Roman"/>
          <w:lang w:val="en-US"/>
        </w:rPr>
        <w:t xml:space="preserve">voting </w:t>
      </w:r>
      <w:proofErr w:type="spellStart"/>
      <w:r w:rsidR="0071122A">
        <w:rPr>
          <w:rFonts w:ascii="Times New Roman" w:hAnsi="Times New Roman" w:cs="Times New Roman"/>
          <w:lang w:val="en-US"/>
        </w:rPr>
        <w:t>behaviour</w:t>
      </w:r>
      <w:proofErr w:type="spellEnd"/>
      <w:r w:rsidR="0071122A">
        <w:rPr>
          <w:rFonts w:ascii="Times New Roman" w:hAnsi="Times New Roman" w:cs="Times New Roman"/>
          <w:lang w:val="en-US"/>
        </w:rPr>
        <w:t>.</w:t>
      </w:r>
    </w:p>
    <w:p w14:paraId="2C0216BE" w14:textId="510451EE" w:rsidR="000D7C97" w:rsidRPr="0071122A" w:rsidRDefault="000D7C97" w:rsidP="000D7C97">
      <w:pPr>
        <w:spacing w:line="360" w:lineRule="auto"/>
        <w:ind w:firstLine="708"/>
        <w:jc w:val="both"/>
        <w:rPr>
          <w:rFonts w:ascii="Times New Roman" w:hAnsi="Times New Roman" w:cs="Times New Roman"/>
          <w:lang w:val="en-US"/>
        </w:rPr>
      </w:pPr>
    </w:p>
    <w:p w14:paraId="0DB982BC" w14:textId="5F6467B8" w:rsidR="000D7C97" w:rsidRPr="009424C5" w:rsidRDefault="000D7C97" w:rsidP="000D7C97">
      <w:pPr>
        <w:pStyle w:val="Listeafsnit"/>
        <w:numPr>
          <w:ilvl w:val="0"/>
          <w:numId w:val="42"/>
        </w:numPr>
        <w:spacing w:line="480" w:lineRule="auto"/>
        <w:ind w:left="0" w:firstLine="0"/>
        <w:jc w:val="both"/>
        <w:rPr>
          <w:rFonts w:ascii="Times New Roman" w:hAnsi="Times New Roman" w:cs="Times New Roman"/>
          <w:lang w:val="en-US"/>
        </w:rPr>
      </w:pPr>
      <w:r w:rsidRPr="009424C5">
        <w:rPr>
          <w:rFonts w:ascii="Times New Roman" w:hAnsi="Times New Roman" w:cs="Times New Roman"/>
          <w:b/>
          <w:lang w:val="en-US"/>
        </w:rPr>
        <w:t>Attitudes towards EU membership in a long-term perspective</w:t>
      </w:r>
    </w:p>
    <w:p w14:paraId="4ACD46F9" w14:textId="5568433E" w:rsidR="00BC45A4" w:rsidRPr="008045FF" w:rsidRDefault="00BC45A4" w:rsidP="006B4BC6">
      <w:pPr>
        <w:spacing w:line="276" w:lineRule="auto"/>
        <w:rPr>
          <w:rFonts w:ascii="Times New Roman" w:hAnsi="Times New Roman" w:cs="Times New Roman"/>
          <w:lang w:val="en-US"/>
        </w:rPr>
      </w:pPr>
    </w:p>
    <w:p w14:paraId="1C4D749D" w14:textId="01433175" w:rsidR="007B4B85" w:rsidRPr="00EB21B0" w:rsidRDefault="00BC45A4" w:rsidP="007B4B85">
      <w:pPr>
        <w:spacing w:line="360" w:lineRule="auto"/>
        <w:jc w:val="both"/>
        <w:rPr>
          <w:rFonts w:ascii="Times New Roman" w:hAnsi="Times New Roman" w:cs="Times New Roman"/>
          <w:lang w:val="en-US"/>
        </w:rPr>
      </w:pPr>
      <w:r w:rsidRPr="008045FF">
        <w:rPr>
          <w:rFonts w:ascii="Times New Roman" w:hAnsi="Times New Roman" w:cs="Times New Roman"/>
          <w:lang w:val="en-US"/>
        </w:rPr>
        <w:t>Despite a series of referenda on EU matters that may suggest otherwise – t</w:t>
      </w:r>
      <w:r w:rsidR="005C033D" w:rsidRPr="008045FF">
        <w:rPr>
          <w:rFonts w:ascii="Times New Roman" w:hAnsi="Times New Roman" w:cs="Times New Roman"/>
          <w:lang w:val="en-US"/>
        </w:rPr>
        <w:t>he initial rejection of the Maastricht Treaty in 1992 (50.</w:t>
      </w:r>
      <w:r w:rsidR="00BE1F52" w:rsidRPr="008045FF">
        <w:rPr>
          <w:rFonts w:ascii="Times New Roman" w:hAnsi="Times New Roman" w:cs="Times New Roman"/>
          <w:lang w:val="en-US"/>
        </w:rPr>
        <w:t>7% against),</w:t>
      </w:r>
      <w:r w:rsidR="00D65262" w:rsidRPr="008045FF">
        <w:rPr>
          <w:rFonts w:ascii="Times New Roman" w:hAnsi="Times New Roman" w:cs="Times New Roman"/>
          <w:lang w:val="en-US"/>
        </w:rPr>
        <w:t xml:space="preserve"> the</w:t>
      </w:r>
      <w:r w:rsidR="00BE1F52" w:rsidRPr="008045FF">
        <w:rPr>
          <w:rFonts w:ascii="Times New Roman" w:hAnsi="Times New Roman" w:cs="Times New Roman"/>
          <w:lang w:val="en-US"/>
        </w:rPr>
        <w:t xml:space="preserve"> rejection of the euro</w:t>
      </w:r>
      <w:r w:rsidR="0028558F" w:rsidRPr="008045FF">
        <w:rPr>
          <w:rFonts w:ascii="Times New Roman" w:hAnsi="Times New Roman" w:cs="Times New Roman"/>
          <w:lang w:val="en-US"/>
        </w:rPr>
        <w:t xml:space="preserve"> membership</w:t>
      </w:r>
      <w:r w:rsidR="00BE1F52" w:rsidRPr="008045FF">
        <w:rPr>
          <w:rFonts w:ascii="Times New Roman" w:hAnsi="Times New Roman" w:cs="Times New Roman"/>
          <w:lang w:val="en-US"/>
        </w:rPr>
        <w:t xml:space="preserve"> in </w:t>
      </w:r>
      <w:r w:rsidR="0028558F" w:rsidRPr="008045FF">
        <w:rPr>
          <w:rFonts w:ascii="Times New Roman" w:hAnsi="Times New Roman" w:cs="Times New Roman"/>
          <w:lang w:val="en-US"/>
        </w:rPr>
        <w:t>2000 (53.2% against)</w:t>
      </w:r>
      <w:r w:rsidR="00D65262" w:rsidRPr="008045FF">
        <w:rPr>
          <w:rFonts w:ascii="Times New Roman" w:hAnsi="Times New Roman" w:cs="Times New Roman"/>
          <w:lang w:val="en-US"/>
        </w:rPr>
        <w:t>,</w:t>
      </w:r>
      <w:r w:rsidR="0028558F" w:rsidRPr="008045FF">
        <w:rPr>
          <w:rFonts w:ascii="Times New Roman" w:hAnsi="Times New Roman" w:cs="Times New Roman"/>
          <w:lang w:val="en-US"/>
        </w:rPr>
        <w:t xml:space="preserve"> and a vote against the proposal to</w:t>
      </w:r>
      <w:r w:rsidR="00BE1F52" w:rsidRPr="008045FF">
        <w:rPr>
          <w:rFonts w:ascii="Times New Roman" w:hAnsi="Times New Roman" w:cs="Times New Roman"/>
          <w:lang w:val="en-US"/>
        </w:rPr>
        <w:t xml:space="preserve"> amend Denmark’s full opt-out on </w:t>
      </w:r>
      <w:r w:rsidR="00D65262" w:rsidRPr="008045FF">
        <w:rPr>
          <w:rFonts w:ascii="Times New Roman" w:hAnsi="Times New Roman" w:cs="Times New Roman"/>
          <w:lang w:val="en-US"/>
        </w:rPr>
        <w:t xml:space="preserve">justice and </w:t>
      </w:r>
      <w:r w:rsidR="00BE1F52" w:rsidRPr="008045FF">
        <w:rPr>
          <w:rFonts w:ascii="Times New Roman" w:hAnsi="Times New Roman" w:cs="Times New Roman"/>
          <w:lang w:val="en-US"/>
        </w:rPr>
        <w:t>home affairs matters to a more limited arrangement</w:t>
      </w:r>
      <w:r w:rsidR="000A1A1B" w:rsidRPr="008045FF">
        <w:rPr>
          <w:rFonts w:ascii="Times New Roman" w:hAnsi="Times New Roman" w:cs="Times New Roman"/>
          <w:lang w:val="en-US"/>
        </w:rPr>
        <w:t xml:space="preserve"> in 2015</w:t>
      </w:r>
      <w:r w:rsidR="00BE1F52" w:rsidRPr="008045FF">
        <w:rPr>
          <w:rFonts w:ascii="Times New Roman" w:hAnsi="Times New Roman" w:cs="Times New Roman"/>
          <w:lang w:val="en-US"/>
        </w:rPr>
        <w:t xml:space="preserve"> (53.1% against)</w:t>
      </w:r>
      <w:r w:rsidR="005C033D" w:rsidRPr="008045FF">
        <w:rPr>
          <w:rFonts w:ascii="Times New Roman" w:hAnsi="Times New Roman" w:cs="Times New Roman"/>
          <w:lang w:val="en-US"/>
        </w:rPr>
        <w:t xml:space="preserve"> </w:t>
      </w:r>
      <w:r w:rsidR="00BE1F52" w:rsidRPr="008045FF">
        <w:rPr>
          <w:rFonts w:ascii="Times New Roman" w:hAnsi="Times New Roman" w:cs="Times New Roman"/>
          <w:lang w:val="en-US"/>
        </w:rPr>
        <w:t xml:space="preserve">– </w:t>
      </w:r>
      <w:r w:rsidR="00F47A27" w:rsidRPr="008045FF">
        <w:rPr>
          <w:rFonts w:ascii="Times New Roman" w:hAnsi="Times New Roman" w:cs="Times New Roman"/>
          <w:lang w:val="en-US"/>
        </w:rPr>
        <w:t xml:space="preserve">Figure 1 provides a </w:t>
      </w:r>
      <w:r w:rsidR="0028558F" w:rsidRPr="008045FF">
        <w:rPr>
          <w:rFonts w:ascii="Times New Roman" w:hAnsi="Times New Roman" w:cs="Times New Roman"/>
          <w:lang w:val="en-US"/>
        </w:rPr>
        <w:t xml:space="preserve">relatively </w:t>
      </w:r>
      <w:r w:rsidR="00F47A27" w:rsidRPr="008045FF">
        <w:rPr>
          <w:rFonts w:ascii="Times New Roman" w:hAnsi="Times New Roman" w:cs="Times New Roman"/>
          <w:lang w:val="en-US"/>
        </w:rPr>
        <w:t xml:space="preserve">positive view of Danish citizens’ attitudes towards their country’s membership of the EU. </w:t>
      </w:r>
      <w:r w:rsidR="00921EE4" w:rsidRPr="008045FF">
        <w:rPr>
          <w:rFonts w:ascii="Times New Roman" w:hAnsi="Times New Roman" w:cs="Times New Roman"/>
          <w:lang w:val="en-US"/>
        </w:rPr>
        <w:t>The historical trend line shows whether Eurobarometer respondents in Denmark think that their country’s membership of the European Union is a “good thing”, a “bad thing”, or “neither a good thing nor a bad thing”</w:t>
      </w:r>
      <w:r w:rsidR="0028558F" w:rsidRPr="008045FF">
        <w:rPr>
          <w:rFonts w:ascii="Times New Roman" w:hAnsi="Times New Roman" w:cs="Times New Roman"/>
          <w:lang w:val="en-US"/>
        </w:rPr>
        <w:t xml:space="preserve"> during the time period 1991 to 2019</w:t>
      </w:r>
      <w:r w:rsidR="00921EE4" w:rsidRPr="008045FF">
        <w:rPr>
          <w:rFonts w:ascii="Times New Roman" w:hAnsi="Times New Roman" w:cs="Times New Roman"/>
          <w:lang w:val="en-US"/>
        </w:rPr>
        <w:t xml:space="preserve">. </w:t>
      </w:r>
      <w:r w:rsidR="007B4B85" w:rsidRPr="008045FF">
        <w:rPr>
          <w:rFonts w:ascii="Times New Roman" w:hAnsi="Times New Roman" w:cs="Times New Roman"/>
          <w:lang w:val="en-US"/>
        </w:rPr>
        <w:t>From a low point of respondents describing Denmark’s membership of the EU as a “good thing” in 1997 (45%)</w:t>
      </w:r>
      <w:r w:rsidR="00EB21B0">
        <w:rPr>
          <w:rFonts w:ascii="Times New Roman" w:hAnsi="Times New Roman" w:cs="Times New Roman"/>
          <w:lang w:val="en-US"/>
        </w:rPr>
        <w:t>,</w:t>
      </w:r>
      <w:r w:rsidR="007B4B85" w:rsidRPr="00EB21B0">
        <w:rPr>
          <w:rFonts w:ascii="Times New Roman" w:hAnsi="Times New Roman" w:cs="Times New Roman"/>
          <w:lang w:val="en-US"/>
        </w:rPr>
        <w:t xml:space="preserve"> the general trend has been towards an increase in the share of respondents in this category and a simultaneous decrease in those responding that Denmark’s membership of the EU is a “bad thing”. Amongst other factors, this trend may be explained by the gradual recognition that the European Union is a market-regulating </w:t>
      </w:r>
      <w:r w:rsidR="00EB21B0">
        <w:rPr>
          <w:rFonts w:ascii="Times New Roman" w:hAnsi="Times New Roman" w:cs="Times New Roman"/>
          <w:lang w:val="en-US"/>
        </w:rPr>
        <w:t>as well as</w:t>
      </w:r>
      <w:r w:rsidR="007B4B85" w:rsidRPr="00EB21B0">
        <w:rPr>
          <w:rFonts w:ascii="Times New Roman" w:hAnsi="Times New Roman" w:cs="Times New Roman"/>
          <w:lang w:val="en-US"/>
        </w:rPr>
        <w:t xml:space="preserve"> a market-making actor, </w:t>
      </w:r>
      <w:r w:rsidR="00EB21B0">
        <w:rPr>
          <w:rFonts w:ascii="Times New Roman" w:hAnsi="Times New Roman" w:cs="Times New Roman"/>
          <w:lang w:val="en-US"/>
        </w:rPr>
        <w:t xml:space="preserve">making the EU more palatable to citizens in </w:t>
      </w:r>
      <w:r w:rsidR="008045FF">
        <w:rPr>
          <w:rFonts w:ascii="Times New Roman" w:hAnsi="Times New Roman" w:cs="Times New Roman"/>
          <w:lang w:val="en-US"/>
        </w:rPr>
        <w:t xml:space="preserve">a </w:t>
      </w:r>
      <w:r w:rsidR="00EB21B0">
        <w:rPr>
          <w:rFonts w:ascii="Times New Roman" w:hAnsi="Times New Roman" w:cs="Times New Roman"/>
          <w:lang w:val="en-US"/>
        </w:rPr>
        <w:t>coordinated market economy such as Denmark. F</w:t>
      </w:r>
      <w:r w:rsidR="002A4BA3" w:rsidRPr="00EB21B0">
        <w:rPr>
          <w:rFonts w:ascii="Times New Roman" w:hAnsi="Times New Roman" w:cs="Times New Roman"/>
          <w:lang w:val="en-US"/>
        </w:rPr>
        <w:t xml:space="preserve">or example, the Socialist People's Party </w:t>
      </w:r>
      <w:r w:rsidR="00402F88" w:rsidRPr="00EB21B0">
        <w:rPr>
          <w:rFonts w:ascii="Times New Roman" w:hAnsi="Times New Roman" w:cs="Times New Roman"/>
          <w:lang w:val="en-US"/>
        </w:rPr>
        <w:t xml:space="preserve">began to change </w:t>
      </w:r>
      <w:r w:rsidR="00EB21B0">
        <w:rPr>
          <w:rFonts w:ascii="Times New Roman" w:hAnsi="Times New Roman" w:cs="Times New Roman"/>
          <w:lang w:val="en-US"/>
        </w:rPr>
        <w:t xml:space="preserve">its stance towards the EU to a more </w:t>
      </w:r>
      <w:proofErr w:type="spellStart"/>
      <w:r w:rsidR="00EB21B0">
        <w:rPr>
          <w:rFonts w:ascii="Times New Roman" w:hAnsi="Times New Roman" w:cs="Times New Roman"/>
          <w:lang w:val="en-US"/>
        </w:rPr>
        <w:t>favourable</w:t>
      </w:r>
      <w:proofErr w:type="spellEnd"/>
      <w:r w:rsidR="00EB21B0">
        <w:rPr>
          <w:rFonts w:ascii="Times New Roman" w:hAnsi="Times New Roman" w:cs="Times New Roman"/>
          <w:lang w:val="en-US"/>
        </w:rPr>
        <w:t xml:space="preserve"> one towards the end of the 1990s, indicating the gradual softening of opposition towards European integration as a threat to the Danish economic model (though </w:t>
      </w:r>
      <w:r w:rsidR="00B44A18">
        <w:rPr>
          <w:rFonts w:ascii="Times New Roman" w:hAnsi="Times New Roman" w:cs="Times New Roman"/>
          <w:lang w:val="en-US"/>
        </w:rPr>
        <w:t xml:space="preserve">some </w:t>
      </w:r>
      <w:r w:rsidR="00EB21B0">
        <w:rPr>
          <w:rFonts w:ascii="Times New Roman" w:hAnsi="Times New Roman" w:cs="Times New Roman"/>
          <w:lang w:val="en-US"/>
        </w:rPr>
        <w:t>opposition still persists)</w:t>
      </w:r>
      <w:r w:rsidR="002A4BA3" w:rsidRPr="00EB21B0">
        <w:rPr>
          <w:rFonts w:ascii="Times New Roman" w:hAnsi="Times New Roman" w:cs="Times New Roman"/>
          <w:lang w:val="en-US"/>
        </w:rPr>
        <w:t xml:space="preserve">. </w:t>
      </w:r>
    </w:p>
    <w:p w14:paraId="383741BA" w14:textId="3E432D6E" w:rsidR="002A4BA3" w:rsidRPr="00EB21B0" w:rsidRDefault="002A4BA3" w:rsidP="007B4B85">
      <w:pPr>
        <w:spacing w:line="360" w:lineRule="auto"/>
        <w:jc w:val="both"/>
        <w:rPr>
          <w:rFonts w:ascii="Times New Roman" w:hAnsi="Times New Roman" w:cs="Times New Roman"/>
          <w:lang w:val="en-US"/>
        </w:rPr>
      </w:pPr>
      <w:r w:rsidRPr="00EB21B0">
        <w:rPr>
          <w:rFonts w:ascii="Times New Roman" w:hAnsi="Times New Roman" w:cs="Times New Roman"/>
          <w:lang w:val="en-US"/>
        </w:rPr>
        <w:tab/>
        <w:t xml:space="preserve">Perhaps unsurprisingly, the most marked dip in the trend line, 2011, coincides with the onset of the financial crisis. Though </w:t>
      </w:r>
      <w:r w:rsidR="00402F88" w:rsidRPr="00EB21B0">
        <w:rPr>
          <w:rFonts w:ascii="Times New Roman" w:hAnsi="Times New Roman" w:cs="Times New Roman"/>
          <w:lang w:val="en-US"/>
        </w:rPr>
        <w:t>its</w:t>
      </w:r>
      <w:r w:rsidRPr="00EB21B0">
        <w:rPr>
          <w:rFonts w:ascii="Times New Roman" w:hAnsi="Times New Roman" w:cs="Times New Roman"/>
          <w:lang w:val="en-US"/>
        </w:rPr>
        <w:t xml:space="preserve"> consequences were not as severe in Denmark as in Greece, Italy or Spain, </w:t>
      </w:r>
      <w:r w:rsidR="00F62337">
        <w:rPr>
          <w:rFonts w:ascii="Times New Roman" w:hAnsi="Times New Roman" w:cs="Times New Roman"/>
          <w:lang w:val="en-US"/>
        </w:rPr>
        <w:t>it</w:t>
      </w:r>
      <w:r w:rsidRPr="00EB21B0">
        <w:rPr>
          <w:rFonts w:ascii="Times New Roman" w:hAnsi="Times New Roman" w:cs="Times New Roman"/>
          <w:lang w:val="en-US"/>
        </w:rPr>
        <w:t xml:space="preserve"> still led to a sharp spike in unemployment</w:t>
      </w:r>
      <w:r w:rsidR="00F62337">
        <w:rPr>
          <w:rFonts w:ascii="Times New Roman" w:hAnsi="Times New Roman" w:cs="Times New Roman"/>
          <w:lang w:val="en-US"/>
        </w:rPr>
        <w:t xml:space="preserve"> in Denmark</w:t>
      </w:r>
      <w:r w:rsidRPr="00EB21B0">
        <w:rPr>
          <w:rFonts w:ascii="Times New Roman" w:hAnsi="Times New Roman" w:cs="Times New Roman"/>
          <w:lang w:val="en-US"/>
        </w:rPr>
        <w:t>, from around 2.5% in 2008 to 6% by 2010.</w:t>
      </w:r>
      <w:r w:rsidR="00402F88" w:rsidRPr="00EB21B0">
        <w:rPr>
          <w:rFonts w:ascii="Times New Roman" w:hAnsi="Times New Roman" w:cs="Times New Roman"/>
          <w:lang w:val="en-US"/>
        </w:rPr>
        <w:t xml:space="preserve"> </w:t>
      </w:r>
      <w:r w:rsidR="004F3CAB" w:rsidRPr="001A2124">
        <w:rPr>
          <w:rFonts w:ascii="Times New Roman" w:hAnsi="Times New Roman" w:cs="Times New Roman"/>
          <w:lang w:val="en-US"/>
        </w:rPr>
        <w:t xml:space="preserve">This appears to have been taken into </w:t>
      </w:r>
      <w:r w:rsidR="0001036E" w:rsidRPr="001A2124">
        <w:rPr>
          <w:rFonts w:ascii="Times New Roman" w:hAnsi="Times New Roman" w:cs="Times New Roman"/>
          <w:lang w:val="en-US"/>
        </w:rPr>
        <w:t>account in Danish respondents’ evaluations of their country’s EU membership, reflecting a more general trend across Europe at the time, including a general downturn in national government evaluations</w:t>
      </w:r>
      <w:r w:rsidR="001A2124">
        <w:rPr>
          <w:rFonts w:ascii="Times New Roman" w:hAnsi="Times New Roman" w:cs="Times New Roman"/>
          <w:lang w:val="en-US"/>
        </w:rPr>
        <w:t xml:space="preserve"> </w:t>
      </w:r>
      <w:r w:rsidR="001A2124" w:rsidRPr="001A2124">
        <w:rPr>
          <w:rFonts w:ascii="Times New Roman" w:hAnsi="Times New Roman" w:cs="Times New Roman"/>
          <w:lang w:val="en-US"/>
        </w:rPr>
        <w:t>(</w:t>
      </w:r>
      <w:proofErr w:type="spellStart"/>
      <w:r w:rsidR="001A2124" w:rsidRPr="001A2124">
        <w:rPr>
          <w:rFonts w:ascii="Times New Roman" w:hAnsi="Times New Roman" w:cs="Times New Roman"/>
          <w:lang w:val="en-US"/>
        </w:rPr>
        <w:t>Armingeon</w:t>
      </w:r>
      <w:proofErr w:type="spellEnd"/>
      <w:r w:rsidR="001A2124" w:rsidRPr="001A2124">
        <w:rPr>
          <w:rFonts w:ascii="Times New Roman" w:hAnsi="Times New Roman" w:cs="Times New Roman"/>
          <w:lang w:val="en-US"/>
        </w:rPr>
        <w:t xml:space="preserve"> and </w:t>
      </w:r>
      <w:proofErr w:type="spellStart"/>
      <w:r w:rsidR="001A2124" w:rsidRPr="001A2124">
        <w:rPr>
          <w:rFonts w:ascii="Times New Roman" w:hAnsi="Times New Roman" w:cs="Times New Roman"/>
          <w:lang w:val="en-US"/>
        </w:rPr>
        <w:t>Ceka</w:t>
      </w:r>
      <w:proofErr w:type="spellEnd"/>
      <w:r w:rsidR="001A2124" w:rsidRPr="001A2124">
        <w:rPr>
          <w:rFonts w:ascii="Times New Roman" w:hAnsi="Times New Roman" w:cs="Times New Roman"/>
          <w:lang w:val="en-US"/>
        </w:rPr>
        <w:t xml:space="preserve"> 2013)</w:t>
      </w:r>
      <w:r w:rsidR="0001036E" w:rsidRPr="001A2124">
        <w:rPr>
          <w:rFonts w:ascii="Times New Roman" w:hAnsi="Times New Roman" w:cs="Times New Roman"/>
          <w:lang w:val="en-US"/>
        </w:rPr>
        <w:t>.</w:t>
      </w:r>
      <w:r w:rsidR="0001036E" w:rsidRPr="00EB21B0">
        <w:rPr>
          <w:rFonts w:ascii="Times New Roman" w:hAnsi="Times New Roman" w:cs="Times New Roman"/>
          <w:lang w:val="en-US"/>
        </w:rPr>
        <w:t xml:space="preserve"> However, positivity towards Denmark’s EU membership almost entirely rebounded</w:t>
      </w:r>
      <w:r w:rsidR="00574107" w:rsidRPr="00EB21B0">
        <w:rPr>
          <w:rFonts w:ascii="Times New Roman" w:hAnsi="Times New Roman" w:cs="Times New Roman"/>
          <w:lang w:val="en-US"/>
        </w:rPr>
        <w:t xml:space="preserve"> to pre-crisis levels</w:t>
      </w:r>
      <w:r w:rsidR="0001036E" w:rsidRPr="00EB21B0">
        <w:rPr>
          <w:rFonts w:ascii="Times New Roman" w:hAnsi="Times New Roman" w:cs="Times New Roman"/>
          <w:lang w:val="en-US"/>
        </w:rPr>
        <w:t xml:space="preserve"> by </w:t>
      </w:r>
      <w:r w:rsidR="00574107" w:rsidRPr="00EB21B0">
        <w:rPr>
          <w:rFonts w:ascii="Times New Roman" w:hAnsi="Times New Roman" w:cs="Times New Roman"/>
          <w:lang w:val="en-US"/>
        </w:rPr>
        <w:t xml:space="preserve">June </w:t>
      </w:r>
      <w:r w:rsidR="0001036E" w:rsidRPr="00EB21B0">
        <w:rPr>
          <w:rFonts w:ascii="Times New Roman" w:hAnsi="Times New Roman" w:cs="Times New Roman"/>
          <w:lang w:val="en-US"/>
        </w:rPr>
        <w:t xml:space="preserve">2013. </w:t>
      </w:r>
    </w:p>
    <w:p w14:paraId="04F0A085" w14:textId="5DB5E081" w:rsidR="00D36362" w:rsidRPr="00EB21B0" w:rsidRDefault="0001036E" w:rsidP="007B4B85">
      <w:pPr>
        <w:spacing w:line="360" w:lineRule="auto"/>
        <w:jc w:val="both"/>
        <w:rPr>
          <w:rFonts w:ascii="Times New Roman" w:hAnsi="Times New Roman" w:cs="Times New Roman"/>
          <w:lang w:val="en-US"/>
        </w:rPr>
      </w:pPr>
      <w:r w:rsidRPr="00EB21B0">
        <w:rPr>
          <w:rFonts w:ascii="Times New Roman" w:hAnsi="Times New Roman" w:cs="Times New Roman"/>
          <w:lang w:val="en-US"/>
        </w:rPr>
        <w:tab/>
        <w:t xml:space="preserve">It is </w:t>
      </w:r>
      <w:r w:rsidR="00F62337">
        <w:rPr>
          <w:rFonts w:ascii="Times New Roman" w:hAnsi="Times New Roman" w:cs="Times New Roman"/>
          <w:lang w:val="en-US"/>
        </w:rPr>
        <w:t>notable</w:t>
      </w:r>
      <w:r w:rsidRPr="00EB21B0">
        <w:rPr>
          <w:rFonts w:ascii="Times New Roman" w:hAnsi="Times New Roman" w:cs="Times New Roman"/>
          <w:lang w:val="en-US"/>
        </w:rPr>
        <w:t xml:space="preserve"> </w:t>
      </w:r>
      <w:r w:rsidR="0052358F" w:rsidRPr="00EB21B0">
        <w:rPr>
          <w:rFonts w:ascii="Times New Roman" w:hAnsi="Times New Roman" w:cs="Times New Roman"/>
          <w:lang w:val="en-US"/>
        </w:rPr>
        <w:t xml:space="preserve">that the general increase in the percentage of respondents referring to Denmark’s EU membership as a “good thing” appears uninterrupted by the </w:t>
      </w:r>
      <w:r w:rsidR="00574107" w:rsidRPr="00EB21B0">
        <w:rPr>
          <w:rFonts w:ascii="Times New Roman" w:hAnsi="Times New Roman" w:cs="Times New Roman"/>
          <w:lang w:val="en-US"/>
        </w:rPr>
        <w:t>2015/2016 migration crisis (or, at least, did not lead to a decline in support for EU membership)</w:t>
      </w:r>
      <w:r w:rsidR="0052358F" w:rsidRPr="00EB21B0">
        <w:rPr>
          <w:rFonts w:ascii="Times New Roman" w:hAnsi="Times New Roman" w:cs="Times New Roman"/>
          <w:lang w:val="en-US"/>
        </w:rPr>
        <w:t>, despite this leading to the reintroduction of border controls in Denmark</w:t>
      </w:r>
      <w:r w:rsidR="00C51D4E" w:rsidRPr="00EB21B0">
        <w:rPr>
          <w:rFonts w:ascii="Times New Roman" w:hAnsi="Times New Roman" w:cs="Times New Roman"/>
          <w:lang w:val="en-US"/>
        </w:rPr>
        <w:t xml:space="preserve"> – contro</w:t>
      </w:r>
      <w:r w:rsidR="00D36362" w:rsidRPr="00EB21B0">
        <w:rPr>
          <w:rFonts w:ascii="Times New Roman" w:hAnsi="Times New Roman" w:cs="Times New Roman"/>
          <w:lang w:val="en-US"/>
        </w:rPr>
        <w:t>ls that are still in place in 2019</w:t>
      </w:r>
      <w:r w:rsidR="00C51D4E" w:rsidRPr="00EB21B0">
        <w:rPr>
          <w:rFonts w:ascii="Times New Roman" w:hAnsi="Times New Roman" w:cs="Times New Roman"/>
          <w:lang w:val="en-US"/>
        </w:rPr>
        <w:t xml:space="preserve">. </w:t>
      </w:r>
      <w:r w:rsidR="00D36362" w:rsidRPr="00EB21B0">
        <w:rPr>
          <w:rFonts w:ascii="Times New Roman" w:hAnsi="Times New Roman" w:cs="Times New Roman"/>
          <w:lang w:val="en-US"/>
        </w:rPr>
        <w:t xml:space="preserve">It </w:t>
      </w:r>
      <w:r w:rsidR="00C51D4E" w:rsidRPr="00EB21B0">
        <w:rPr>
          <w:rFonts w:ascii="Times New Roman" w:hAnsi="Times New Roman" w:cs="Times New Roman"/>
          <w:lang w:val="en-US"/>
        </w:rPr>
        <w:t xml:space="preserve">may in fact be that this </w:t>
      </w:r>
      <w:r w:rsidR="00D36362" w:rsidRPr="00EB21B0">
        <w:rPr>
          <w:rFonts w:ascii="Times New Roman" w:hAnsi="Times New Roman" w:cs="Times New Roman"/>
          <w:lang w:val="en-US"/>
        </w:rPr>
        <w:t xml:space="preserve">flexible response to the crisis – the introduction of temporary controls – tempered any </w:t>
      </w:r>
      <w:r w:rsidR="00F62337">
        <w:rPr>
          <w:rFonts w:ascii="Times New Roman" w:hAnsi="Times New Roman" w:cs="Times New Roman"/>
          <w:lang w:val="en-US"/>
        </w:rPr>
        <w:t xml:space="preserve">associated </w:t>
      </w:r>
      <w:r w:rsidR="00D36362" w:rsidRPr="00EB21B0">
        <w:rPr>
          <w:rFonts w:ascii="Times New Roman" w:hAnsi="Times New Roman" w:cs="Times New Roman"/>
          <w:lang w:val="en-US"/>
        </w:rPr>
        <w:t>tendency towards a decline in support for EU membership. For the most recent time point, February 2019 (three months prior to the EP election), the percentage of respondents who said that Denmark’s membership of the EU is a “good thing” in fact reached its highest point for the time period studied (77%) and, conversely, those responding “bad thing” its lowest point (8%).</w:t>
      </w:r>
      <w:r w:rsidR="00BA2264" w:rsidRPr="00EB21B0">
        <w:rPr>
          <w:rFonts w:ascii="Times New Roman" w:hAnsi="Times New Roman" w:cs="Times New Roman"/>
          <w:lang w:val="en-US"/>
        </w:rPr>
        <w:t xml:space="preserve"> This coincides with a collapse in support for the right-wing, anti-immigration Danish People’s Party in the 2019 Danish general election (from </w:t>
      </w:r>
      <w:r w:rsidR="00D20070" w:rsidRPr="00EB21B0">
        <w:rPr>
          <w:rFonts w:ascii="Times New Roman" w:hAnsi="Times New Roman" w:cs="Times New Roman"/>
          <w:lang w:val="en-US"/>
        </w:rPr>
        <w:t>21% in 2015 to 9% in 2019)</w:t>
      </w:r>
      <w:r w:rsidR="00B814E8">
        <w:rPr>
          <w:rFonts w:ascii="Times New Roman" w:hAnsi="Times New Roman" w:cs="Times New Roman"/>
          <w:lang w:val="en-US"/>
        </w:rPr>
        <w:t xml:space="preserve"> on June 5</w:t>
      </w:r>
      <w:r w:rsidR="00BA2264" w:rsidRPr="00EB21B0">
        <w:rPr>
          <w:rFonts w:ascii="Times New Roman" w:hAnsi="Times New Roman" w:cs="Times New Roman"/>
          <w:lang w:val="en-US"/>
        </w:rPr>
        <w:t xml:space="preserve">, </w:t>
      </w:r>
      <w:r w:rsidR="00F07C7D">
        <w:rPr>
          <w:rFonts w:ascii="Times New Roman" w:hAnsi="Times New Roman" w:cs="Times New Roman"/>
          <w:lang w:val="en-US"/>
        </w:rPr>
        <w:t>suggesting</w:t>
      </w:r>
      <w:r w:rsidR="00BA2264" w:rsidRPr="00EB21B0">
        <w:rPr>
          <w:rFonts w:ascii="Times New Roman" w:hAnsi="Times New Roman" w:cs="Times New Roman"/>
          <w:lang w:val="en-US"/>
        </w:rPr>
        <w:t xml:space="preserve"> that this upswing may be linked </w:t>
      </w:r>
      <w:r w:rsidR="00D20070" w:rsidRPr="00EB21B0">
        <w:rPr>
          <w:rFonts w:ascii="Times New Roman" w:hAnsi="Times New Roman" w:cs="Times New Roman"/>
          <w:lang w:val="en-US"/>
        </w:rPr>
        <w:t xml:space="preserve">to the slow decline in the overall salience of the immigration issues in Denmark. </w:t>
      </w:r>
    </w:p>
    <w:p w14:paraId="32618C5B" w14:textId="4E83FA28" w:rsidR="00DF040D" w:rsidRPr="004844AC" w:rsidRDefault="00D20070" w:rsidP="00DF040D">
      <w:pPr>
        <w:spacing w:line="360" w:lineRule="auto"/>
        <w:jc w:val="both"/>
        <w:rPr>
          <w:rFonts w:ascii="Times New Roman" w:hAnsi="Times New Roman" w:cs="Times New Roman"/>
          <w:lang w:val="en-US"/>
        </w:rPr>
      </w:pPr>
      <w:r w:rsidRPr="00EB21B0">
        <w:rPr>
          <w:rFonts w:ascii="Times New Roman" w:hAnsi="Times New Roman" w:cs="Times New Roman"/>
          <w:lang w:val="en-US"/>
        </w:rPr>
        <w:tab/>
        <w:t xml:space="preserve">All this suggests that despite the impression of Denmark as a Eurosceptic country that can be gleaned from rejection of several pro-integrative measures via referenda in recent decades, Danish citizens have in fact become increasingly positive about EU membership over time – </w:t>
      </w:r>
      <w:r w:rsidR="00B814E8">
        <w:rPr>
          <w:rFonts w:ascii="Times New Roman" w:hAnsi="Times New Roman" w:cs="Times New Roman"/>
          <w:lang w:val="en-US"/>
        </w:rPr>
        <w:t>beginning shortly after the EU’s policy-making turn towards market regulation during the 1990s</w:t>
      </w:r>
      <w:r w:rsidRPr="00EB21B0">
        <w:rPr>
          <w:rFonts w:ascii="Times New Roman" w:hAnsi="Times New Roman" w:cs="Times New Roman"/>
          <w:lang w:val="en-US"/>
        </w:rPr>
        <w:t xml:space="preserve">. And even </w:t>
      </w:r>
      <w:r w:rsidR="00B814E8">
        <w:rPr>
          <w:rFonts w:ascii="Times New Roman" w:hAnsi="Times New Roman" w:cs="Times New Roman"/>
          <w:lang w:val="en-US"/>
        </w:rPr>
        <w:t>before this upswing</w:t>
      </w:r>
      <w:r w:rsidRPr="00EB21B0">
        <w:rPr>
          <w:rFonts w:ascii="Times New Roman" w:hAnsi="Times New Roman" w:cs="Times New Roman"/>
          <w:lang w:val="en-US"/>
        </w:rPr>
        <w:t xml:space="preserve">, support </w:t>
      </w:r>
      <w:r w:rsidR="00D023C7">
        <w:rPr>
          <w:rFonts w:ascii="Times New Roman" w:hAnsi="Times New Roman" w:cs="Times New Roman"/>
          <w:lang w:val="en-US"/>
        </w:rPr>
        <w:t xml:space="preserve">of Danish citizens </w:t>
      </w:r>
      <w:r w:rsidRPr="00EB21B0">
        <w:rPr>
          <w:rFonts w:ascii="Times New Roman" w:hAnsi="Times New Roman" w:cs="Times New Roman"/>
          <w:lang w:val="en-US"/>
        </w:rPr>
        <w:t>for</w:t>
      </w:r>
      <w:r w:rsidR="00D023C7">
        <w:rPr>
          <w:rFonts w:ascii="Times New Roman" w:hAnsi="Times New Roman" w:cs="Times New Roman"/>
          <w:lang w:val="en-US"/>
        </w:rPr>
        <w:t xml:space="preserve"> EU</w:t>
      </w:r>
      <w:r w:rsidRPr="00EB21B0">
        <w:rPr>
          <w:rFonts w:ascii="Times New Roman" w:hAnsi="Times New Roman" w:cs="Times New Roman"/>
          <w:lang w:val="en-US"/>
        </w:rPr>
        <w:t xml:space="preserve"> membership outweighed opposition.</w:t>
      </w:r>
      <w:r w:rsidR="00DF040D" w:rsidRPr="00EB21B0">
        <w:rPr>
          <w:rFonts w:ascii="Times New Roman" w:hAnsi="Times New Roman" w:cs="Times New Roman"/>
          <w:lang w:val="en-US"/>
        </w:rPr>
        <w:t xml:space="preserve"> Despite some media commentary </w:t>
      </w:r>
      <w:r w:rsidR="00D023C7">
        <w:rPr>
          <w:rFonts w:ascii="Times New Roman" w:hAnsi="Times New Roman" w:cs="Times New Roman"/>
          <w:lang w:val="en-US"/>
        </w:rPr>
        <w:t>about</w:t>
      </w:r>
      <w:r w:rsidR="00DF040D" w:rsidRPr="00EB21B0">
        <w:rPr>
          <w:rFonts w:ascii="Times New Roman" w:hAnsi="Times New Roman" w:cs="Times New Roman"/>
          <w:lang w:val="en-US"/>
        </w:rPr>
        <w:t xml:space="preserve"> the possibility of a Danish exit from the EU (a so-called ‘</w:t>
      </w:r>
      <w:proofErr w:type="spellStart"/>
      <w:r w:rsidR="00DF040D" w:rsidRPr="00EB21B0">
        <w:rPr>
          <w:rFonts w:ascii="Times New Roman" w:hAnsi="Times New Roman" w:cs="Times New Roman"/>
          <w:lang w:val="en-US"/>
        </w:rPr>
        <w:t>Dexit</w:t>
      </w:r>
      <w:proofErr w:type="spellEnd"/>
      <w:r w:rsidR="00DF040D" w:rsidRPr="00EB21B0">
        <w:rPr>
          <w:rFonts w:ascii="Times New Roman" w:hAnsi="Times New Roman" w:cs="Times New Roman"/>
          <w:lang w:val="en-US"/>
        </w:rPr>
        <w:t xml:space="preserve">’), the data presented here suggests that such a possibility is </w:t>
      </w:r>
      <w:r w:rsidR="00D023C7">
        <w:rPr>
          <w:rFonts w:ascii="Times New Roman" w:hAnsi="Times New Roman" w:cs="Times New Roman"/>
          <w:lang w:val="en-US"/>
        </w:rPr>
        <w:t xml:space="preserve">now </w:t>
      </w:r>
      <w:r w:rsidR="00DF040D" w:rsidRPr="00EB21B0">
        <w:rPr>
          <w:rFonts w:ascii="Times New Roman" w:hAnsi="Times New Roman" w:cs="Times New Roman"/>
          <w:lang w:val="en-US"/>
        </w:rPr>
        <w:t>more unlikely than ever, and support for EU membership was at a historic high just months before the European Parliament election 2019 in Denmark on May 26 2019.</w:t>
      </w:r>
    </w:p>
    <w:p w14:paraId="6BA59C25" w14:textId="64695DC1" w:rsidR="007B4B85" w:rsidRPr="004844AC" w:rsidRDefault="007B4B85" w:rsidP="005B010F">
      <w:pPr>
        <w:spacing w:line="360" w:lineRule="auto"/>
        <w:jc w:val="both"/>
        <w:rPr>
          <w:rFonts w:ascii="Times New Roman" w:hAnsi="Times New Roman" w:cs="Times New Roman"/>
          <w:lang w:val="en-US"/>
        </w:rPr>
      </w:pPr>
    </w:p>
    <w:p w14:paraId="1C4B4262" w14:textId="75AFB853" w:rsidR="00BC45A4" w:rsidRPr="004844AC" w:rsidRDefault="00BC45A4" w:rsidP="006B4BC6">
      <w:pPr>
        <w:spacing w:line="276" w:lineRule="auto"/>
        <w:rPr>
          <w:rFonts w:ascii="Times New Roman" w:hAnsi="Times New Roman" w:cs="Times New Roman"/>
          <w:u w:val="single"/>
          <w:lang w:val="en-US"/>
        </w:rPr>
      </w:pPr>
    </w:p>
    <w:p w14:paraId="748B8638" w14:textId="784EBF51" w:rsidR="006B4BC6" w:rsidRPr="004844AC" w:rsidRDefault="006B4BC6" w:rsidP="006B4BC6">
      <w:pPr>
        <w:spacing w:line="360" w:lineRule="auto"/>
        <w:jc w:val="both"/>
        <w:rPr>
          <w:rFonts w:ascii="Times New Roman" w:hAnsi="Times New Roman" w:cs="Times New Roman"/>
          <w:b/>
          <w:lang w:val="en-US"/>
        </w:rPr>
      </w:pPr>
      <w:r w:rsidRPr="004844AC">
        <w:rPr>
          <w:rFonts w:ascii="Times New Roman" w:hAnsi="Times New Roman" w:cs="Times New Roman"/>
          <w:b/>
          <w:lang w:val="en-US"/>
        </w:rPr>
        <w:t>Figure 1</w:t>
      </w:r>
      <w:r w:rsidRPr="004844AC">
        <w:rPr>
          <w:rFonts w:ascii="Times New Roman" w:hAnsi="Times New Roman" w:cs="Times New Roman"/>
          <w:lang w:val="en-US"/>
        </w:rPr>
        <w:t>:</w:t>
      </w:r>
      <w:r w:rsidRPr="004844AC">
        <w:rPr>
          <w:rFonts w:ascii="Times New Roman" w:hAnsi="Times New Roman" w:cs="Times New Roman"/>
          <w:b/>
          <w:lang w:val="en-US"/>
        </w:rPr>
        <w:t xml:space="preserve"> </w:t>
      </w:r>
      <w:r w:rsidRPr="004844AC">
        <w:rPr>
          <w:rFonts w:ascii="Times New Roman" w:hAnsi="Times New Roman" w:cs="Times New Roman"/>
          <w:lang w:val="en-US"/>
        </w:rPr>
        <w:t>Over time support for European unification, according to eligible Danish voters</w:t>
      </w:r>
    </w:p>
    <w:p w14:paraId="27A8FEFE" w14:textId="13047602" w:rsidR="006B4BC6" w:rsidRPr="004844AC" w:rsidRDefault="006B4BC6" w:rsidP="006B4BC6">
      <w:pPr>
        <w:spacing w:line="360" w:lineRule="auto"/>
        <w:jc w:val="center"/>
        <w:rPr>
          <w:rFonts w:ascii="Times New Roman" w:hAnsi="Times New Roman" w:cs="Times New Roman"/>
        </w:rPr>
      </w:pPr>
      <w:r w:rsidRPr="004844AC">
        <w:rPr>
          <w:rFonts w:ascii="Times New Roman" w:hAnsi="Times New Roman" w:cs="Times New Roman"/>
          <w:noProof/>
          <w:u w:val="single"/>
          <w:lang w:val="da-DK" w:eastAsia="da-DK"/>
        </w:rPr>
        <w:drawing>
          <wp:inline distT="0" distB="0" distL="0" distR="0" wp14:anchorId="69D50FFC" wp14:editId="281B5856">
            <wp:extent cx="5060113" cy="3686175"/>
            <wp:effectExtent l="0" t="0" r="7620" b="0"/>
            <wp:docPr id="1" name="Picture 1" descr="C:\Users\wilhelmj87.U\AppData\Local\Microsoft\Windows\INetCache\Content.Word\eumember_support_DK_EBonly_Month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helmj87.U\AppData\Local\Microsoft\Windows\INetCache\Content.Word\eumember_support_DK_EBonly_MonthY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991" cy="3688272"/>
                    </a:xfrm>
                    <a:prstGeom prst="rect">
                      <a:avLst/>
                    </a:prstGeom>
                    <a:noFill/>
                    <a:ln>
                      <a:noFill/>
                    </a:ln>
                  </pic:spPr>
                </pic:pic>
              </a:graphicData>
            </a:graphic>
          </wp:inline>
        </w:drawing>
      </w:r>
    </w:p>
    <w:p w14:paraId="4046EEC6" w14:textId="77777777" w:rsidR="00D65227" w:rsidRPr="004844AC" w:rsidRDefault="006B4BC6" w:rsidP="00D65227">
      <w:pPr>
        <w:spacing w:line="360" w:lineRule="auto"/>
        <w:jc w:val="both"/>
        <w:rPr>
          <w:rFonts w:ascii="Times New Roman" w:hAnsi="Times New Roman" w:cs="Times New Roman"/>
          <w:lang w:val="en-US"/>
        </w:rPr>
      </w:pPr>
      <w:r w:rsidRPr="004844AC">
        <w:rPr>
          <w:rFonts w:ascii="Times New Roman" w:hAnsi="Times New Roman" w:cs="Times New Roman"/>
          <w:b/>
          <w:lang w:val="en-US"/>
        </w:rPr>
        <w:t>Source</w:t>
      </w:r>
      <w:r w:rsidRPr="004844AC">
        <w:rPr>
          <w:rFonts w:ascii="Times New Roman" w:hAnsi="Times New Roman" w:cs="Times New Roman"/>
          <w:lang w:val="en-US"/>
        </w:rPr>
        <w:t>:</w:t>
      </w:r>
      <w:r w:rsidRPr="004844AC">
        <w:rPr>
          <w:rFonts w:ascii="Times New Roman" w:hAnsi="Times New Roman" w:cs="Times New Roman"/>
          <w:b/>
          <w:lang w:val="en-US"/>
        </w:rPr>
        <w:t xml:space="preserve"> </w:t>
      </w:r>
      <w:r w:rsidRPr="004844AC">
        <w:rPr>
          <w:rFonts w:ascii="Times New Roman" w:hAnsi="Times New Roman" w:cs="Times New Roman"/>
          <w:lang w:val="en-US"/>
        </w:rPr>
        <w:t xml:space="preserve">Eurobarometer 1990-2019. </w:t>
      </w:r>
      <w:r w:rsidR="007B7309" w:rsidRPr="004844AC">
        <w:rPr>
          <w:rFonts w:ascii="Times New Roman" w:hAnsi="Times New Roman" w:cs="Times New Roman"/>
          <w:lang w:val="en-US"/>
        </w:rPr>
        <w:t>Question wording “Generally speaking, do you think that Denmark’s membership of the EU is ...?”</w:t>
      </w:r>
    </w:p>
    <w:p w14:paraId="411954EE" w14:textId="77777777" w:rsidR="00D65227" w:rsidRPr="004844AC" w:rsidRDefault="00D65227" w:rsidP="00D65227">
      <w:pPr>
        <w:spacing w:line="360" w:lineRule="auto"/>
        <w:jc w:val="both"/>
        <w:rPr>
          <w:rFonts w:ascii="Times New Roman" w:hAnsi="Times New Roman" w:cs="Times New Roman"/>
          <w:lang w:val="en-US"/>
        </w:rPr>
      </w:pPr>
    </w:p>
    <w:p w14:paraId="47DF0036" w14:textId="04A3FBA6" w:rsidR="00D27533" w:rsidRDefault="00150F79" w:rsidP="00BE47A1">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Figure 2 presents turnout levels in national and EP elections in Denmark in long-term historical perspective. </w:t>
      </w:r>
      <w:r w:rsidR="00923437" w:rsidRPr="00150F79">
        <w:rPr>
          <w:rFonts w:ascii="Times New Roman" w:hAnsi="Times New Roman" w:cs="Times New Roman"/>
          <w:lang w:val="en-US"/>
        </w:rPr>
        <w:t xml:space="preserve">Turnout in the 2019 EP election in Denmark </w:t>
      </w:r>
      <w:r>
        <w:rPr>
          <w:rFonts w:ascii="Times New Roman" w:hAnsi="Times New Roman" w:cs="Times New Roman"/>
          <w:lang w:val="en-US"/>
        </w:rPr>
        <w:t xml:space="preserve">in fact </w:t>
      </w:r>
      <w:r w:rsidR="00923437" w:rsidRPr="00150F79">
        <w:rPr>
          <w:rFonts w:ascii="Times New Roman" w:hAnsi="Times New Roman" w:cs="Times New Roman"/>
          <w:lang w:val="en-US"/>
        </w:rPr>
        <w:t>hit an all-time high</w:t>
      </w:r>
      <w:r>
        <w:rPr>
          <w:rFonts w:ascii="Times New Roman" w:hAnsi="Times New Roman" w:cs="Times New Roman"/>
          <w:lang w:val="en-US"/>
        </w:rPr>
        <w:t xml:space="preserve"> for EP elections held previously</w:t>
      </w:r>
      <w:r w:rsidR="00923437" w:rsidRPr="00150F79">
        <w:rPr>
          <w:rFonts w:ascii="Times New Roman" w:hAnsi="Times New Roman" w:cs="Times New Roman"/>
          <w:lang w:val="en-US"/>
        </w:rPr>
        <w:t xml:space="preserve">, with 66% of </w:t>
      </w:r>
      <w:r w:rsidR="001B7116" w:rsidRPr="00150F79">
        <w:rPr>
          <w:rFonts w:ascii="Times New Roman" w:hAnsi="Times New Roman" w:cs="Times New Roman"/>
          <w:lang w:val="en-US"/>
        </w:rPr>
        <w:t xml:space="preserve">eligible voters </w:t>
      </w:r>
      <w:r>
        <w:rPr>
          <w:rFonts w:ascii="Times New Roman" w:hAnsi="Times New Roman" w:cs="Times New Roman"/>
          <w:lang w:val="en-US"/>
        </w:rPr>
        <w:t>t</w:t>
      </w:r>
      <w:r w:rsidR="004844AC">
        <w:rPr>
          <w:rFonts w:ascii="Times New Roman" w:hAnsi="Times New Roman" w:cs="Times New Roman"/>
          <w:lang w:val="en-US"/>
        </w:rPr>
        <w:t>urning</w:t>
      </w:r>
      <w:r>
        <w:rPr>
          <w:rFonts w:ascii="Times New Roman" w:hAnsi="Times New Roman" w:cs="Times New Roman"/>
          <w:lang w:val="en-US"/>
        </w:rPr>
        <w:t xml:space="preserve"> out to vote</w:t>
      </w:r>
      <w:r w:rsidR="00923437" w:rsidRPr="00150F79">
        <w:rPr>
          <w:rFonts w:ascii="Times New Roman" w:hAnsi="Times New Roman" w:cs="Times New Roman"/>
          <w:lang w:val="en-US"/>
        </w:rPr>
        <w:t xml:space="preserve">, </w:t>
      </w:r>
      <w:r w:rsidR="00F26396" w:rsidRPr="00150F79">
        <w:rPr>
          <w:rFonts w:ascii="Times New Roman" w:hAnsi="Times New Roman" w:cs="Times New Roman"/>
          <w:lang w:val="en-US"/>
        </w:rPr>
        <w:t>an increase of 10</w:t>
      </w:r>
      <w:r w:rsidR="00924111" w:rsidRPr="00150F79">
        <w:rPr>
          <w:rFonts w:ascii="Times New Roman" w:hAnsi="Times New Roman" w:cs="Times New Roman"/>
          <w:lang w:val="en-US"/>
        </w:rPr>
        <w:t xml:space="preserve"> percentage points</w:t>
      </w:r>
      <w:r w:rsidR="00F26396" w:rsidRPr="00150F79">
        <w:rPr>
          <w:rFonts w:ascii="Times New Roman" w:hAnsi="Times New Roman" w:cs="Times New Roman"/>
          <w:lang w:val="en-US"/>
        </w:rPr>
        <w:t xml:space="preserve"> over 2014 (56%) </w:t>
      </w:r>
      <w:r>
        <w:rPr>
          <w:rFonts w:ascii="Times New Roman" w:hAnsi="Times New Roman" w:cs="Times New Roman"/>
          <w:lang w:val="en-US"/>
        </w:rPr>
        <w:t xml:space="preserve">and </w:t>
      </w:r>
      <w:r w:rsidR="00F26396" w:rsidRPr="00150F79">
        <w:rPr>
          <w:rFonts w:ascii="Times New Roman" w:hAnsi="Times New Roman" w:cs="Times New Roman"/>
          <w:lang w:val="en-US"/>
        </w:rPr>
        <w:t>6</w:t>
      </w:r>
      <w:r w:rsidR="00886B01">
        <w:rPr>
          <w:rFonts w:ascii="Times New Roman" w:hAnsi="Times New Roman" w:cs="Times New Roman"/>
          <w:lang w:val="en-US"/>
        </w:rPr>
        <w:t>%</w:t>
      </w:r>
      <w:r w:rsidR="00924111" w:rsidRPr="00150F79">
        <w:rPr>
          <w:rFonts w:ascii="Times New Roman" w:hAnsi="Times New Roman" w:cs="Times New Roman"/>
          <w:lang w:val="en-US"/>
        </w:rPr>
        <w:t xml:space="preserve"> </w:t>
      </w:r>
      <w:r w:rsidR="00F26396" w:rsidRPr="00150F79">
        <w:rPr>
          <w:rFonts w:ascii="Times New Roman" w:hAnsi="Times New Roman" w:cs="Times New Roman"/>
          <w:lang w:val="en-US"/>
        </w:rPr>
        <w:t xml:space="preserve">over the previous highest turnout level in 2010 (60%) </w:t>
      </w:r>
      <w:r w:rsidR="008B198A" w:rsidRPr="00150F79">
        <w:rPr>
          <w:rFonts w:ascii="Times New Roman" w:hAnsi="Times New Roman" w:cs="Times New Roman"/>
          <w:lang w:val="en-US"/>
        </w:rPr>
        <w:t>(</w:t>
      </w:r>
      <w:proofErr w:type="gramStart"/>
      <w:r w:rsidR="008B198A" w:rsidRPr="00150F79">
        <w:rPr>
          <w:rFonts w:ascii="Times New Roman" w:hAnsi="Times New Roman" w:cs="Times New Roman"/>
          <w:lang w:val="en-US"/>
        </w:rPr>
        <w:t>see</w:t>
      </w:r>
      <w:proofErr w:type="gramEnd"/>
      <w:r w:rsidR="008B198A" w:rsidRPr="00150F79">
        <w:rPr>
          <w:rFonts w:ascii="Times New Roman" w:hAnsi="Times New Roman" w:cs="Times New Roman"/>
          <w:lang w:val="en-US"/>
        </w:rPr>
        <w:t xml:space="preserve"> Figure 2</w:t>
      </w:r>
      <w:r w:rsidR="00F26396" w:rsidRPr="00150F79">
        <w:rPr>
          <w:rFonts w:ascii="Times New Roman" w:hAnsi="Times New Roman" w:cs="Times New Roman"/>
          <w:lang w:val="en-US"/>
        </w:rPr>
        <w:t>).</w:t>
      </w:r>
      <w:r w:rsidR="009C03A8" w:rsidRPr="00150F79">
        <w:rPr>
          <w:rFonts w:ascii="Times New Roman" w:hAnsi="Times New Roman" w:cs="Times New Roman"/>
          <w:lang w:val="en-US"/>
        </w:rPr>
        <w:t xml:space="preserve"> One possibility is that </w:t>
      </w:r>
      <w:r w:rsidR="00BE47A1">
        <w:rPr>
          <w:rFonts w:ascii="Times New Roman" w:hAnsi="Times New Roman" w:cs="Times New Roman"/>
          <w:lang w:val="en-US"/>
        </w:rPr>
        <w:t>the</w:t>
      </w:r>
      <w:r w:rsidR="009C03A8" w:rsidRPr="00BE47A1">
        <w:rPr>
          <w:rFonts w:ascii="Times New Roman" w:hAnsi="Times New Roman" w:cs="Times New Roman"/>
          <w:lang w:val="en-US"/>
        </w:rPr>
        <w:t xml:space="preserve"> spike in turnout</w:t>
      </w:r>
      <w:r w:rsidR="00BE47A1">
        <w:rPr>
          <w:rFonts w:ascii="Times New Roman" w:hAnsi="Times New Roman" w:cs="Times New Roman"/>
          <w:lang w:val="en-US"/>
        </w:rPr>
        <w:t xml:space="preserve"> in 2019 </w:t>
      </w:r>
      <w:r w:rsidR="009C03A8" w:rsidRPr="00BE47A1">
        <w:rPr>
          <w:rFonts w:ascii="Times New Roman" w:hAnsi="Times New Roman" w:cs="Times New Roman"/>
          <w:lang w:val="en-US"/>
        </w:rPr>
        <w:t xml:space="preserve">resulted from a particularly first-order European election, with high levels of voter engagement in the </w:t>
      </w:r>
      <w:r>
        <w:rPr>
          <w:rFonts w:ascii="Times New Roman" w:hAnsi="Times New Roman" w:cs="Times New Roman"/>
          <w:lang w:val="en-US"/>
        </w:rPr>
        <w:t>EP election campaign itself</w:t>
      </w:r>
      <w:r w:rsidR="009C03A8" w:rsidRPr="00BE47A1">
        <w:rPr>
          <w:rFonts w:ascii="Times New Roman" w:hAnsi="Times New Roman" w:cs="Times New Roman"/>
          <w:lang w:val="en-US"/>
        </w:rPr>
        <w:t xml:space="preserve">. </w:t>
      </w:r>
      <w:r w:rsidR="006731C8" w:rsidRPr="00BE47A1">
        <w:rPr>
          <w:rFonts w:ascii="Times New Roman" w:hAnsi="Times New Roman" w:cs="Times New Roman"/>
          <w:lang w:val="en-US"/>
        </w:rPr>
        <w:t xml:space="preserve">However, it is worth reiterating </w:t>
      </w:r>
      <w:r>
        <w:rPr>
          <w:rFonts w:ascii="Times New Roman" w:hAnsi="Times New Roman" w:cs="Times New Roman"/>
          <w:lang w:val="en-US"/>
        </w:rPr>
        <w:t xml:space="preserve">that a special feature of the 2019 EP election in Denmark was that </w:t>
      </w:r>
      <w:r w:rsidR="006731C8" w:rsidRPr="00BE47A1">
        <w:rPr>
          <w:rFonts w:ascii="Times New Roman" w:hAnsi="Times New Roman" w:cs="Times New Roman"/>
          <w:lang w:val="en-US"/>
        </w:rPr>
        <w:t xml:space="preserve">the </w:t>
      </w:r>
      <w:r w:rsidR="006C2AB4" w:rsidRPr="00BE47A1">
        <w:rPr>
          <w:rFonts w:ascii="Times New Roman" w:hAnsi="Times New Roman" w:cs="Times New Roman"/>
          <w:lang w:val="en-US"/>
        </w:rPr>
        <w:t xml:space="preserve">Danish general election took place on June 5 2019, just 10 days after the EP </w:t>
      </w:r>
      <w:r>
        <w:rPr>
          <w:rFonts w:ascii="Times New Roman" w:hAnsi="Times New Roman" w:cs="Times New Roman"/>
          <w:lang w:val="en-US"/>
        </w:rPr>
        <w:t>election</w:t>
      </w:r>
      <w:r w:rsidR="002F1DCC" w:rsidRPr="00BE47A1">
        <w:rPr>
          <w:rFonts w:ascii="Times New Roman" w:hAnsi="Times New Roman" w:cs="Times New Roman"/>
          <w:lang w:val="en-US"/>
        </w:rPr>
        <w:t xml:space="preserve">, </w:t>
      </w:r>
      <w:r w:rsidR="006C2AB4" w:rsidRPr="00BE47A1">
        <w:rPr>
          <w:rFonts w:ascii="Times New Roman" w:hAnsi="Times New Roman" w:cs="Times New Roman"/>
          <w:lang w:val="en-US"/>
        </w:rPr>
        <w:t xml:space="preserve">resulting in the </w:t>
      </w:r>
      <w:r>
        <w:rPr>
          <w:rFonts w:ascii="Times New Roman" w:hAnsi="Times New Roman" w:cs="Times New Roman"/>
          <w:lang w:val="en-US"/>
        </w:rPr>
        <w:t>latter</w:t>
      </w:r>
      <w:r w:rsidR="006C2AB4" w:rsidRPr="00BE47A1">
        <w:rPr>
          <w:rFonts w:ascii="Times New Roman" w:hAnsi="Times New Roman" w:cs="Times New Roman"/>
          <w:lang w:val="en-US"/>
        </w:rPr>
        <w:t xml:space="preserve"> becoming almost entirely embedded within the national campaign. </w:t>
      </w:r>
      <w:r w:rsidR="00D27533">
        <w:rPr>
          <w:rFonts w:ascii="Times New Roman" w:hAnsi="Times New Roman" w:cs="Times New Roman"/>
          <w:lang w:val="en-US"/>
        </w:rPr>
        <w:t xml:space="preserve">As </w:t>
      </w:r>
      <w:proofErr w:type="spellStart"/>
      <w:r w:rsidR="00D27533">
        <w:rPr>
          <w:rFonts w:ascii="Times New Roman" w:hAnsi="Times New Roman" w:cs="Times New Roman"/>
          <w:lang w:val="en-US"/>
        </w:rPr>
        <w:t>Reif</w:t>
      </w:r>
      <w:proofErr w:type="spellEnd"/>
      <w:r w:rsidR="00D27533">
        <w:rPr>
          <w:rFonts w:ascii="Times New Roman" w:hAnsi="Times New Roman" w:cs="Times New Roman"/>
          <w:lang w:val="en-US"/>
        </w:rPr>
        <w:t xml:space="preserve"> and Schmitt (1980) </w:t>
      </w:r>
      <w:proofErr w:type="spellStart"/>
      <w:r w:rsidR="00D27533">
        <w:rPr>
          <w:rFonts w:ascii="Times New Roman" w:hAnsi="Times New Roman" w:cs="Times New Roman"/>
          <w:lang w:val="en-US"/>
        </w:rPr>
        <w:t>emphasise</w:t>
      </w:r>
      <w:proofErr w:type="spellEnd"/>
      <w:r w:rsidR="00D27533">
        <w:rPr>
          <w:rFonts w:ascii="Times New Roman" w:hAnsi="Times New Roman" w:cs="Times New Roman"/>
          <w:lang w:val="en-US"/>
        </w:rPr>
        <w:t xml:space="preserve">, a major determinant of EP election turnout is its placement within the national electoral </w:t>
      </w:r>
      <w:r w:rsidR="0039624B">
        <w:rPr>
          <w:rFonts w:ascii="Times New Roman" w:hAnsi="Times New Roman" w:cs="Times New Roman"/>
          <w:lang w:val="en-US"/>
        </w:rPr>
        <w:t>cycle, while</w:t>
      </w:r>
      <w:r w:rsidR="00D27533">
        <w:rPr>
          <w:rFonts w:ascii="Times New Roman" w:hAnsi="Times New Roman" w:cs="Times New Roman"/>
          <w:lang w:val="en-US"/>
        </w:rPr>
        <w:t xml:space="preserve"> Franklin (2001) contend</w:t>
      </w:r>
      <w:r w:rsidR="0039624B">
        <w:rPr>
          <w:rFonts w:ascii="Times New Roman" w:hAnsi="Times New Roman" w:cs="Times New Roman"/>
          <w:lang w:val="en-US"/>
        </w:rPr>
        <w:t xml:space="preserve">s </w:t>
      </w:r>
      <w:r w:rsidR="00D27533">
        <w:rPr>
          <w:rFonts w:ascii="Times New Roman" w:hAnsi="Times New Roman" w:cs="Times New Roman"/>
          <w:lang w:val="en-US"/>
        </w:rPr>
        <w:t xml:space="preserve">that EP elections held just before a national election </w:t>
      </w:r>
      <w:r w:rsidR="0039624B">
        <w:rPr>
          <w:rFonts w:ascii="Times New Roman" w:hAnsi="Times New Roman" w:cs="Times New Roman"/>
          <w:lang w:val="en-US"/>
        </w:rPr>
        <w:t>should result in higher turnout, with such elections effectively treated</w:t>
      </w:r>
      <w:r w:rsidR="00D27533">
        <w:rPr>
          <w:rFonts w:ascii="Times New Roman" w:hAnsi="Times New Roman" w:cs="Times New Roman"/>
          <w:lang w:val="en-US"/>
        </w:rPr>
        <w:t xml:space="preserve"> as a “barometer” for the upcoming national contest</w:t>
      </w:r>
      <w:r w:rsidR="0039624B">
        <w:rPr>
          <w:rFonts w:ascii="Times New Roman" w:hAnsi="Times New Roman" w:cs="Times New Roman"/>
          <w:lang w:val="en-US"/>
        </w:rPr>
        <w:t xml:space="preserve">. As such, the historically high turnout in the 2019 Danish EP election may have been generated not because European issues and topics became particularly salient for voters, </w:t>
      </w:r>
      <w:r w:rsidR="0006629F">
        <w:rPr>
          <w:rFonts w:ascii="Times New Roman" w:hAnsi="Times New Roman" w:cs="Times New Roman"/>
          <w:lang w:val="en-US"/>
        </w:rPr>
        <w:t>but because it was perceived to be a test run for the upcoming national contest</w:t>
      </w:r>
      <w:r w:rsidR="0039624B">
        <w:rPr>
          <w:rFonts w:ascii="Times New Roman" w:hAnsi="Times New Roman" w:cs="Times New Roman"/>
          <w:lang w:val="en-US"/>
        </w:rPr>
        <w:t xml:space="preserve">, </w:t>
      </w:r>
      <w:proofErr w:type="spellStart"/>
      <w:r w:rsidR="0039624B">
        <w:rPr>
          <w:rFonts w:ascii="Times New Roman" w:hAnsi="Times New Roman" w:cs="Times New Roman"/>
          <w:lang w:val="en-US"/>
        </w:rPr>
        <w:t>i.e</w:t>
      </w:r>
      <w:proofErr w:type="spellEnd"/>
      <w:r w:rsidR="0039624B">
        <w:rPr>
          <w:rFonts w:ascii="Times New Roman" w:hAnsi="Times New Roman" w:cs="Times New Roman"/>
          <w:lang w:val="en-US"/>
        </w:rPr>
        <w:t xml:space="preserve"> a second-order effect. </w:t>
      </w:r>
    </w:p>
    <w:p w14:paraId="5EDAB7E6" w14:textId="77777777" w:rsidR="0006629F" w:rsidRPr="00150F79" w:rsidRDefault="0006629F" w:rsidP="0006629F">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What is more certain is that </w:t>
      </w:r>
      <w:r w:rsidRPr="00BE47A1">
        <w:rPr>
          <w:rFonts w:ascii="Times New Roman" w:hAnsi="Times New Roman" w:cs="Times New Roman"/>
          <w:lang w:val="en-US"/>
        </w:rPr>
        <w:t xml:space="preserve">despite reaching a historical high of 66% </w:t>
      </w:r>
      <w:r>
        <w:rPr>
          <w:rFonts w:ascii="Times New Roman" w:hAnsi="Times New Roman" w:cs="Times New Roman"/>
          <w:lang w:val="en-US"/>
        </w:rPr>
        <w:t xml:space="preserve">for EP elections, recorded turnout in the 2019 EP election in Denmark still fell short of the 85% turnout recorded for the </w:t>
      </w:r>
      <w:r w:rsidRPr="00BE47A1">
        <w:rPr>
          <w:rFonts w:ascii="Times New Roman" w:hAnsi="Times New Roman" w:cs="Times New Roman"/>
          <w:lang w:val="en-US"/>
        </w:rPr>
        <w:t>national election just 10 days later</w:t>
      </w:r>
      <w:r>
        <w:rPr>
          <w:rFonts w:ascii="Times New Roman" w:hAnsi="Times New Roman" w:cs="Times New Roman"/>
          <w:lang w:val="en-US"/>
        </w:rPr>
        <w:t xml:space="preserve"> – and, in fact, short of turnout in any Danish post-war national election, which has not dipped below 80%</w:t>
      </w:r>
      <w:r w:rsidRPr="00BE47A1">
        <w:rPr>
          <w:rFonts w:ascii="Times New Roman" w:hAnsi="Times New Roman" w:cs="Times New Roman"/>
          <w:lang w:val="en-US"/>
        </w:rPr>
        <w:t>.</w:t>
      </w:r>
      <w:r>
        <w:rPr>
          <w:rFonts w:ascii="Times New Roman" w:hAnsi="Times New Roman" w:cs="Times New Roman"/>
          <w:lang w:val="en-US"/>
        </w:rPr>
        <w:t xml:space="preserve"> </w:t>
      </w:r>
      <w:r w:rsidRPr="00BE47A1">
        <w:rPr>
          <w:rFonts w:ascii="Times New Roman" w:hAnsi="Times New Roman" w:cs="Times New Roman"/>
          <w:lang w:val="en-US"/>
        </w:rPr>
        <w:t>This strongly suggests that voters</w:t>
      </w:r>
      <w:r>
        <w:rPr>
          <w:rFonts w:ascii="Times New Roman" w:hAnsi="Times New Roman" w:cs="Times New Roman"/>
          <w:lang w:val="en-US"/>
        </w:rPr>
        <w:t xml:space="preserve"> in general</w:t>
      </w:r>
      <w:r w:rsidRPr="00BE47A1">
        <w:rPr>
          <w:rFonts w:ascii="Times New Roman" w:hAnsi="Times New Roman" w:cs="Times New Roman"/>
          <w:lang w:val="en-US"/>
        </w:rPr>
        <w:t xml:space="preserve"> felt less was at stake in the EP election contest</w:t>
      </w:r>
      <w:r>
        <w:rPr>
          <w:rFonts w:ascii="Times New Roman" w:hAnsi="Times New Roman" w:cs="Times New Roman"/>
          <w:lang w:val="en-US"/>
        </w:rPr>
        <w:t xml:space="preserve"> than is typically the case in a national one</w:t>
      </w:r>
      <w:r w:rsidRPr="00BE47A1">
        <w:rPr>
          <w:rFonts w:ascii="Times New Roman" w:hAnsi="Times New Roman" w:cs="Times New Roman"/>
          <w:lang w:val="en-US"/>
        </w:rPr>
        <w:t xml:space="preserve"> – a hallmark of second-</w:t>
      </w:r>
      <w:proofErr w:type="spellStart"/>
      <w:r w:rsidRPr="00BE47A1">
        <w:rPr>
          <w:rFonts w:ascii="Times New Roman" w:hAnsi="Times New Roman" w:cs="Times New Roman"/>
          <w:lang w:val="en-US"/>
        </w:rPr>
        <w:t>ordernesss</w:t>
      </w:r>
      <w:proofErr w:type="spellEnd"/>
      <w:r w:rsidRPr="00BE47A1">
        <w:rPr>
          <w:rFonts w:ascii="Times New Roman" w:hAnsi="Times New Roman" w:cs="Times New Roman"/>
          <w:lang w:val="en-US"/>
        </w:rPr>
        <w:t>.</w:t>
      </w:r>
    </w:p>
    <w:p w14:paraId="11CB2BFC" w14:textId="338403A7" w:rsidR="00923437" w:rsidRDefault="00923437" w:rsidP="00D65227">
      <w:pPr>
        <w:keepNext/>
        <w:keepLines/>
        <w:spacing w:line="360" w:lineRule="auto"/>
        <w:jc w:val="both"/>
        <w:rPr>
          <w:rFonts w:ascii="Times New Roman" w:hAnsi="Times New Roman" w:cs="Times New Roman"/>
          <w:lang w:val="en-US"/>
        </w:rPr>
      </w:pPr>
    </w:p>
    <w:p w14:paraId="6A8CEA51" w14:textId="77777777" w:rsidR="0006629F" w:rsidRPr="00150F79" w:rsidRDefault="0006629F" w:rsidP="00D65227">
      <w:pPr>
        <w:keepNext/>
        <w:keepLines/>
        <w:spacing w:line="360" w:lineRule="auto"/>
        <w:jc w:val="both"/>
        <w:rPr>
          <w:rFonts w:ascii="Times New Roman" w:hAnsi="Times New Roman" w:cs="Times New Roman"/>
          <w:lang w:val="en-US"/>
        </w:rPr>
      </w:pPr>
    </w:p>
    <w:p w14:paraId="6DE34A99" w14:textId="2EF84D80" w:rsidR="00273D55" w:rsidRPr="00150F79" w:rsidRDefault="00273D55" w:rsidP="00273D55">
      <w:pPr>
        <w:spacing w:line="360" w:lineRule="auto"/>
        <w:jc w:val="both"/>
        <w:rPr>
          <w:rFonts w:ascii="Times New Roman" w:hAnsi="Times New Roman" w:cs="Times New Roman"/>
          <w:b/>
          <w:lang w:val="en-US"/>
        </w:rPr>
      </w:pPr>
      <w:r w:rsidRPr="00150F79">
        <w:rPr>
          <w:rFonts w:ascii="Times New Roman" w:hAnsi="Times New Roman" w:cs="Times New Roman"/>
          <w:b/>
          <w:lang w:val="en-US"/>
        </w:rPr>
        <w:t>Figure 2</w:t>
      </w:r>
      <w:r w:rsidRPr="00150F79">
        <w:rPr>
          <w:rFonts w:ascii="Times New Roman" w:hAnsi="Times New Roman" w:cs="Times New Roman"/>
          <w:lang w:val="en-US"/>
        </w:rPr>
        <w:t>:</w:t>
      </w:r>
      <w:r w:rsidRPr="00150F79">
        <w:rPr>
          <w:rFonts w:ascii="Times New Roman" w:hAnsi="Times New Roman" w:cs="Times New Roman"/>
          <w:b/>
          <w:lang w:val="en-US"/>
        </w:rPr>
        <w:t xml:space="preserve"> </w:t>
      </w:r>
      <w:r w:rsidRPr="00150F79">
        <w:rPr>
          <w:rFonts w:ascii="Times New Roman" w:hAnsi="Times New Roman" w:cs="Times New Roman"/>
          <w:lang w:val="en-US"/>
        </w:rPr>
        <w:t>Historical turnout in European Parliament and national elections in Denmark</w:t>
      </w:r>
    </w:p>
    <w:p w14:paraId="43B1B975" w14:textId="1E30CDEF" w:rsidR="00273D55" w:rsidRPr="00150F79" w:rsidRDefault="00273D55" w:rsidP="00273D55">
      <w:pPr>
        <w:spacing w:line="360" w:lineRule="auto"/>
        <w:jc w:val="center"/>
        <w:rPr>
          <w:rFonts w:ascii="Times New Roman" w:hAnsi="Times New Roman" w:cs="Times New Roman"/>
        </w:rPr>
      </w:pPr>
      <w:r w:rsidRPr="00150F79">
        <w:rPr>
          <w:rFonts w:ascii="Times New Roman" w:hAnsi="Times New Roman" w:cs="Times New Roman"/>
          <w:noProof/>
          <w:lang w:val="da-DK" w:eastAsia="da-DK"/>
        </w:rPr>
        <w:drawing>
          <wp:inline distT="0" distB="0" distL="0" distR="0" wp14:anchorId="23818DA1" wp14:editId="1EAAEC1D">
            <wp:extent cx="5181600" cy="3771900"/>
            <wp:effectExtent l="0" t="0" r="0" b="0"/>
            <wp:docPr id="4" name="Picture 4" descr="turnout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nout_D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3771900"/>
                    </a:xfrm>
                    <a:prstGeom prst="rect">
                      <a:avLst/>
                    </a:prstGeom>
                    <a:noFill/>
                    <a:ln>
                      <a:noFill/>
                    </a:ln>
                  </pic:spPr>
                </pic:pic>
              </a:graphicData>
            </a:graphic>
          </wp:inline>
        </w:drawing>
      </w:r>
    </w:p>
    <w:p w14:paraId="55327AE2" w14:textId="77777777" w:rsidR="00D65227" w:rsidRPr="00150F79" w:rsidRDefault="00273D55" w:rsidP="00D65227">
      <w:pPr>
        <w:spacing w:line="360" w:lineRule="auto"/>
        <w:rPr>
          <w:rFonts w:ascii="Times New Roman" w:hAnsi="Times New Roman" w:cs="Times New Roman"/>
          <w:lang w:val="en-US"/>
        </w:rPr>
      </w:pPr>
      <w:r w:rsidRPr="00150F79">
        <w:rPr>
          <w:rFonts w:ascii="Times New Roman" w:hAnsi="Times New Roman" w:cs="Times New Roman"/>
          <w:b/>
          <w:lang w:val="en-US"/>
        </w:rPr>
        <w:t>Source</w:t>
      </w:r>
      <w:r w:rsidRPr="00150F79">
        <w:rPr>
          <w:rFonts w:ascii="Times New Roman" w:hAnsi="Times New Roman" w:cs="Times New Roman"/>
          <w:lang w:val="en-US"/>
        </w:rPr>
        <w:t>:</w:t>
      </w:r>
      <w:r w:rsidRPr="00150F79">
        <w:rPr>
          <w:rFonts w:ascii="Times New Roman" w:hAnsi="Times New Roman" w:cs="Times New Roman"/>
          <w:b/>
          <w:lang w:val="en-US"/>
        </w:rPr>
        <w:t xml:space="preserve"> </w:t>
      </w:r>
      <w:r w:rsidR="00D65227" w:rsidRPr="00150F79">
        <w:rPr>
          <w:rFonts w:ascii="Times New Roman" w:hAnsi="Times New Roman" w:cs="Times New Roman"/>
          <w:lang w:val="en-US"/>
        </w:rPr>
        <w:t>IDEA Turnout Data Base</w:t>
      </w:r>
    </w:p>
    <w:p w14:paraId="4F36E824" w14:textId="725295D9" w:rsidR="00D65227" w:rsidRDefault="00D65227" w:rsidP="00D65227">
      <w:pPr>
        <w:spacing w:line="360" w:lineRule="auto"/>
        <w:rPr>
          <w:rFonts w:ascii="Times New Roman" w:hAnsi="Times New Roman" w:cs="Times New Roman"/>
          <w:lang w:val="en-US"/>
        </w:rPr>
      </w:pPr>
    </w:p>
    <w:p w14:paraId="37E2E7D1" w14:textId="15842704" w:rsidR="00BE47A1" w:rsidRPr="000C3805" w:rsidRDefault="00BE47A1" w:rsidP="000C3805">
      <w:pPr>
        <w:pStyle w:val="Listeafsnit"/>
        <w:numPr>
          <w:ilvl w:val="0"/>
          <w:numId w:val="42"/>
        </w:numPr>
        <w:spacing w:line="480" w:lineRule="auto"/>
        <w:jc w:val="both"/>
        <w:rPr>
          <w:rFonts w:ascii="Times New Roman" w:hAnsi="Times New Roman" w:cs="Times New Roman"/>
          <w:b/>
          <w:lang w:val="en-US"/>
        </w:rPr>
      </w:pPr>
      <w:r w:rsidRPr="00061496">
        <w:rPr>
          <w:rFonts w:ascii="Times New Roman" w:hAnsi="Times New Roman" w:cs="Times New Roman"/>
          <w:b/>
          <w:lang w:val="en-US"/>
        </w:rPr>
        <w:t>EP election engagement or national influence?</w:t>
      </w:r>
    </w:p>
    <w:p w14:paraId="5E5EA41C" w14:textId="77777777" w:rsidR="000C3805" w:rsidRDefault="000C3805" w:rsidP="000C3805">
      <w:pPr>
        <w:spacing w:line="360" w:lineRule="auto"/>
        <w:jc w:val="both"/>
        <w:rPr>
          <w:rFonts w:ascii="Times New Roman" w:hAnsi="Times New Roman" w:cs="Times New Roman"/>
          <w:lang w:val="en-US"/>
        </w:rPr>
      </w:pPr>
    </w:p>
    <w:p w14:paraId="50AC9C66" w14:textId="6F38CF9D" w:rsidR="00D65227" w:rsidRPr="00061496" w:rsidRDefault="008D3D06" w:rsidP="000C3805">
      <w:pPr>
        <w:spacing w:line="360" w:lineRule="auto"/>
        <w:jc w:val="both"/>
        <w:rPr>
          <w:rFonts w:ascii="Times New Roman" w:hAnsi="Times New Roman" w:cs="Times New Roman"/>
          <w:lang w:val="en-US"/>
        </w:rPr>
      </w:pPr>
      <w:r>
        <w:rPr>
          <w:rFonts w:ascii="Times New Roman" w:hAnsi="Times New Roman" w:cs="Times New Roman"/>
          <w:lang w:val="en-US"/>
        </w:rPr>
        <w:t xml:space="preserve">To </w:t>
      </w:r>
      <w:r w:rsidR="00886B01">
        <w:rPr>
          <w:rFonts w:ascii="Times New Roman" w:hAnsi="Times New Roman" w:cs="Times New Roman"/>
          <w:lang w:val="en-US"/>
        </w:rPr>
        <w:t>shed</w:t>
      </w:r>
      <w:r w:rsidR="000C3805">
        <w:rPr>
          <w:rFonts w:ascii="Times New Roman" w:hAnsi="Times New Roman" w:cs="Times New Roman"/>
          <w:lang w:val="en-US"/>
        </w:rPr>
        <w:t xml:space="preserve"> further light on the nature of </w:t>
      </w:r>
      <w:r w:rsidR="000C3805" w:rsidRPr="00061496">
        <w:rPr>
          <w:rFonts w:ascii="Times New Roman" w:hAnsi="Times New Roman" w:cs="Times New Roman"/>
          <w:lang w:val="en-US"/>
        </w:rPr>
        <w:t xml:space="preserve">voter engagement in the </w:t>
      </w:r>
      <w:r w:rsidR="000C3805">
        <w:rPr>
          <w:rFonts w:ascii="Times New Roman" w:hAnsi="Times New Roman" w:cs="Times New Roman"/>
          <w:lang w:val="en-US"/>
        </w:rPr>
        <w:t xml:space="preserve">2019 EP election in Denmark, </w:t>
      </w:r>
      <w:r w:rsidR="000C3805" w:rsidRPr="00061496">
        <w:rPr>
          <w:rFonts w:ascii="Times New Roman" w:hAnsi="Times New Roman" w:cs="Times New Roman"/>
          <w:lang w:val="en-US"/>
        </w:rPr>
        <w:t>Figure 3</w:t>
      </w:r>
      <w:r w:rsidR="000C3805">
        <w:rPr>
          <w:rFonts w:ascii="Times New Roman" w:hAnsi="Times New Roman" w:cs="Times New Roman"/>
          <w:lang w:val="en-US"/>
        </w:rPr>
        <w:t xml:space="preserve"> </w:t>
      </w:r>
      <w:r w:rsidR="000C3805" w:rsidRPr="00061496">
        <w:rPr>
          <w:rFonts w:ascii="Times New Roman" w:hAnsi="Times New Roman" w:cs="Times New Roman"/>
          <w:lang w:val="en-US"/>
        </w:rPr>
        <w:t>display</w:t>
      </w:r>
      <w:r w:rsidR="000C3805">
        <w:rPr>
          <w:rFonts w:ascii="Times New Roman" w:hAnsi="Times New Roman" w:cs="Times New Roman"/>
          <w:lang w:val="en-US"/>
        </w:rPr>
        <w:t xml:space="preserve">s </w:t>
      </w:r>
      <w:r w:rsidR="000C3805" w:rsidRPr="00061496">
        <w:rPr>
          <w:rFonts w:ascii="Times New Roman" w:hAnsi="Times New Roman" w:cs="Times New Roman"/>
          <w:lang w:val="en-US"/>
        </w:rPr>
        <w:t xml:space="preserve">the level of interest of respondents in </w:t>
      </w:r>
      <w:r w:rsidR="000C3805">
        <w:rPr>
          <w:rFonts w:ascii="Times New Roman" w:hAnsi="Times New Roman" w:cs="Times New Roman"/>
          <w:lang w:val="en-US"/>
        </w:rPr>
        <w:t xml:space="preserve">both </w:t>
      </w:r>
      <w:r w:rsidR="000C3805" w:rsidRPr="00061496">
        <w:rPr>
          <w:rFonts w:ascii="Times New Roman" w:hAnsi="Times New Roman" w:cs="Times New Roman"/>
          <w:lang w:val="en-US"/>
        </w:rPr>
        <w:t>politics generally (pre-campaign) and the European Parliament election specifically (pre- and post-campaign).</w:t>
      </w:r>
      <w:r w:rsidRPr="008D3D06">
        <w:rPr>
          <w:rFonts w:ascii="Times New Roman" w:hAnsi="Times New Roman" w:cs="Times New Roman"/>
          <w:lang w:val="en-US"/>
        </w:rPr>
        <w:t xml:space="preserve"> </w:t>
      </w:r>
      <w:r>
        <w:rPr>
          <w:rFonts w:ascii="Times New Roman" w:hAnsi="Times New Roman" w:cs="Times New Roman"/>
          <w:lang w:val="en-US"/>
        </w:rPr>
        <w:t xml:space="preserve">The </w:t>
      </w:r>
      <w:r w:rsidR="00886B01">
        <w:rPr>
          <w:rFonts w:ascii="Times New Roman" w:hAnsi="Times New Roman" w:cs="Times New Roman"/>
          <w:lang w:val="en-US"/>
        </w:rPr>
        <w:t>individual-level data was</w:t>
      </w:r>
      <w:r>
        <w:rPr>
          <w:rFonts w:ascii="Times New Roman" w:hAnsi="Times New Roman" w:cs="Times New Roman"/>
          <w:lang w:val="en-US"/>
        </w:rPr>
        <w:t xml:space="preserve"> </w:t>
      </w:r>
      <w:r w:rsidRPr="00061496">
        <w:rPr>
          <w:rFonts w:ascii="Times New Roman" w:hAnsi="Times New Roman" w:cs="Times New Roman"/>
          <w:lang w:val="en-US"/>
        </w:rPr>
        <w:t>collected before and after the</w:t>
      </w:r>
      <w:r w:rsidR="00886B01">
        <w:rPr>
          <w:rFonts w:ascii="Times New Roman" w:hAnsi="Times New Roman" w:cs="Times New Roman"/>
          <w:lang w:val="en-US"/>
        </w:rPr>
        <w:t xml:space="preserve"> EP election</w:t>
      </w:r>
      <w:r w:rsidRPr="00061496">
        <w:rPr>
          <w:rFonts w:ascii="Times New Roman" w:hAnsi="Times New Roman" w:cs="Times New Roman"/>
          <w:lang w:val="en-US"/>
        </w:rPr>
        <w:t xml:space="preserve"> campaign as part of the RECONNECT citizen-level survey</w:t>
      </w:r>
      <w:r>
        <w:rPr>
          <w:rFonts w:ascii="Times New Roman" w:hAnsi="Times New Roman" w:cs="Times New Roman"/>
          <w:lang w:val="en-US"/>
        </w:rPr>
        <w:t>.</w:t>
      </w:r>
      <w:r w:rsidR="000C3805">
        <w:rPr>
          <w:rFonts w:ascii="Times New Roman" w:hAnsi="Times New Roman" w:cs="Times New Roman"/>
          <w:lang w:val="en-US"/>
        </w:rPr>
        <w:t xml:space="preserve"> </w:t>
      </w:r>
      <w:r w:rsidR="00886B01">
        <w:rPr>
          <w:rFonts w:ascii="Times New Roman" w:hAnsi="Times New Roman" w:cs="Times New Roman"/>
          <w:lang w:val="en-US"/>
        </w:rPr>
        <w:t>Respondents’</w:t>
      </w:r>
      <w:r w:rsidR="000C01C0" w:rsidRPr="00061496">
        <w:rPr>
          <w:rFonts w:ascii="Times New Roman" w:hAnsi="Times New Roman" w:cs="Times New Roman"/>
          <w:lang w:val="en-US"/>
        </w:rPr>
        <w:t xml:space="preserve"> </w:t>
      </w:r>
      <w:r>
        <w:rPr>
          <w:rFonts w:ascii="Times New Roman" w:hAnsi="Times New Roman" w:cs="Times New Roman"/>
          <w:lang w:val="en-US"/>
        </w:rPr>
        <w:t>general interest in politics</w:t>
      </w:r>
      <w:r w:rsidRPr="00061496">
        <w:rPr>
          <w:rFonts w:ascii="Times New Roman" w:hAnsi="Times New Roman" w:cs="Times New Roman"/>
          <w:lang w:val="en-US"/>
        </w:rPr>
        <w:t xml:space="preserve"> </w:t>
      </w:r>
      <w:r w:rsidR="000C01C0" w:rsidRPr="00061496">
        <w:rPr>
          <w:rFonts w:ascii="Times New Roman" w:hAnsi="Times New Roman" w:cs="Times New Roman"/>
          <w:lang w:val="en-US"/>
        </w:rPr>
        <w:t>was tapped with the question “Generally speaking, how interested are you in politics?”</w:t>
      </w:r>
      <w:r w:rsidR="00886B01">
        <w:rPr>
          <w:rFonts w:ascii="Times New Roman" w:hAnsi="Times New Roman" w:cs="Times New Roman"/>
          <w:lang w:val="en-US"/>
        </w:rPr>
        <w:t>, and</w:t>
      </w:r>
      <w:r w:rsidR="000C01C0" w:rsidRPr="00061496">
        <w:rPr>
          <w:rFonts w:ascii="Times New Roman" w:hAnsi="Times New Roman" w:cs="Times New Roman"/>
          <w:lang w:val="en-US"/>
        </w:rPr>
        <w:t xml:space="preserve"> </w:t>
      </w:r>
      <w:r>
        <w:rPr>
          <w:rFonts w:ascii="Times New Roman" w:hAnsi="Times New Roman" w:cs="Times New Roman"/>
          <w:lang w:val="en-US"/>
        </w:rPr>
        <w:t>interest in the EP election</w:t>
      </w:r>
      <w:r w:rsidRPr="00061496">
        <w:rPr>
          <w:rFonts w:ascii="Times New Roman" w:hAnsi="Times New Roman" w:cs="Times New Roman"/>
          <w:lang w:val="en-US"/>
        </w:rPr>
        <w:t xml:space="preserve"> </w:t>
      </w:r>
      <w:r w:rsidR="000C01C0" w:rsidRPr="00061496">
        <w:rPr>
          <w:rFonts w:ascii="Times New Roman" w:hAnsi="Times New Roman" w:cs="Times New Roman"/>
          <w:lang w:val="en-US"/>
        </w:rPr>
        <w:t xml:space="preserve">with “And how interested are/were you in the upcoming/recent European Parliament election?” For both questions, respondents could choose between the response options “very interested”, “fairly interested”, “a little interested” and “not at all interested”. </w:t>
      </w:r>
      <w:r w:rsidR="00D65227" w:rsidRPr="00061496">
        <w:rPr>
          <w:rFonts w:ascii="Times New Roman" w:hAnsi="Times New Roman" w:cs="Times New Roman"/>
          <w:lang w:val="en-US"/>
        </w:rPr>
        <w:tab/>
      </w:r>
    </w:p>
    <w:p w14:paraId="541E3750" w14:textId="6134F412" w:rsidR="006D321A" w:rsidRPr="00061496" w:rsidRDefault="002F1DCC" w:rsidP="00413D96">
      <w:pPr>
        <w:spacing w:line="360" w:lineRule="auto"/>
        <w:ind w:firstLine="708"/>
        <w:jc w:val="both"/>
        <w:rPr>
          <w:rFonts w:ascii="Times New Roman" w:hAnsi="Times New Roman" w:cs="Times New Roman"/>
          <w:lang w:val="en-US"/>
        </w:rPr>
      </w:pPr>
      <w:r w:rsidRPr="00061496">
        <w:rPr>
          <w:rFonts w:ascii="Times New Roman" w:hAnsi="Times New Roman" w:cs="Times New Roman"/>
          <w:lang w:val="en-US"/>
        </w:rPr>
        <w:t xml:space="preserve"> </w:t>
      </w:r>
      <w:r w:rsidR="005679F9" w:rsidRPr="00061496">
        <w:rPr>
          <w:rFonts w:ascii="Times New Roman" w:hAnsi="Times New Roman" w:cs="Times New Roman"/>
          <w:lang w:val="en-US"/>
        </w:rPr>
        <w:t>Figure 3</w:t>
      </w:r>
      <w:r w:rsidR="000C01C0" w:rsidRPr="00061496">
        <w:rPr>
          <w:rFonts w:ascii="Times New Roman" w:hAnsi="Times New Roman" w:cs="Times New Roman"/>
          <w:lang w:val="en-US"/>
        </w:rPr>
        <w:t xml:space="preserve"> reveals that general interest in politics, measured before the campaign started, </w:t>
      </w:r>
      <w:r w:rsidR="00413D96">
        <w:rPr>
          <w:rFonts w:ascii="Times New Roman" w:hAnsi="Times New Roman" w:cs="Times New Roman"/>
          <w:lang w:val="en-US"/>
        </w:rPr>
        <w:t>substantially exceeded</w:t>
      </w:r>
      <w:r w:rsidR="000C01C0" w:rsidRPr="00061496">
        <w:rPr>
          <w:rFonts w:ascii="Times New Roman" w:hAnsi="Times New Roman" w:cs="Times New Roman"/>
          <w:lang w:val="en-US"/>
        </w:rPr>
        <w:t xml:space="preserve"> interest in the European Parliament election, either before the campaign began or after it had run its course. Concretely, </w:t>
      </w:r>
      <w:r w:rsidR="00465725">
        <w:rPr>
          <w:rFonts w:ascii="Times New Roman" w:hAnsi="Times New Roman" w:cs="Times New Roman"/>
          <w:lang w:val="en-US"/>
        </w:rPr>
        <w:t>64</w:t>
      </w:r>
      <w:r w:rsidR="00D873EE" w:rsidRPr="00061496">
        <w:rPr>
          <w:rFonts w:ascii="Times New Roman" w:hAnsi="Times New Roman" w:cs="Times New Roman"/>
          <w:lang w:val="en-US"/>
        </w:rPr>
        <w:t>% of respondents reported be</w:t>
      </w:r>
      <w:r w:rsidR="00465725">
        <w:rPr>
          <w:rFonts w:ascii="Times New Roman" w:hAnsi="Times New Roman" w:cs="Times New Roman"/>
          <w:lang w:val="en-US"/>
        </w:rPr>
        <w:t>ing either “very interested” (19</w:t>
      </w:r>
      <w:r w:rsidR="00D873EE" w:rsidRPr="00061496">
        <w:rPr>
          <w:rFonts w:ascii="Times New Roman" w:hAnsi="Times New Roman" w:cs="Times New Roman"/>
          <w:lang w:val="en-US"/>
        </w:rPr>
        <w:t>%) or “fa</w:t>
      </w:r>
      <w:r w:rsidR="00465725">
        <w:rPr>
          <w:rFonts w:ascii="Times New Roman" w:hAnsi="Times New Roman" w:cs="Times New Roman"/>
          <w:lang w:val="en-US"/>
        </w:rPr>
        <w:t>irly interested” (46</w:t>
      </w:r>
      <w:r w:rsidR="00D873EE" w:rsidRPr="00061496">
        <w:rPr>
          <w:rFonts w:ascii="Times New Roman" w:hAnsi="Times New Roman" w:cs="Times New Roman"/>
          <w:lang w:val="en-US"/>
        </w:rPr>
        <w:t>%) in politics generally</w:t>
      </w:r>
      <w:r w:rsidR="001C6B0E">
        <w:rPr>
          <w:rFonts w:ascii="Times New Roman" w:hAnsi="Times New Roman" w:cs="Times New Roman"/>
          <w:lang w:val="en-US"/>
        </w:rPr>
        <w:t xml:space="preserve"> (measured pre-campaign)</w:t>
      </w:r>
      <w:r w:rsidR="00465725">
        <w:rPr>
          <w:rFonts w:ascii="Times New Roman" w:hAnsi="Times New Roman" w:cs="Times New Roman"/>
          <w:lang w:val="en-US"/>
        </w:rPr>
        <w:t>, whereas only 43</w:t>
      </w:r>
      <w:r w:rsidR="00D873EE" w:rsidRPr="00061496">
        <w:rPr>
          <w:rFonts w:ascii="Times New Roman" w:hAnsi="Times New Roman" w:cs="Times New Roman"/>
          <w:lang w:val="en-US"/>
        </w:rPr>
        <w:t xml:space="preserve">% </w:t>
      </w:r>
      <w:r w:rsidR="006D321A" w:rsidRPr="00061496">
        <w:rPr>
          <w:rFonts w:ascii="Times New Roman" w:hAnsi="Times New Roman" w:cs="Times New Roman"/>
          <w:lang w:val="en-US"/>
        </w:rPr>
        <w:t xml:space="preserve">of respondents </w:t>
      </w:r>
      <w:r w:rsidR="00D873EE" w:rsidRPr="00061496">
        <w:rPr>
          <w:rFonts w:ascii="Times New Roman" w:hAnsi="Times New Roman" w:cs="Times New Roman"/>
          <w:lang w:val="en-US"/>
        </w:rPr>
        <w:t xml:space="preserve">reported </w:t>
      </w:r>
      <w:r w:rsidR="00B03CC4">
        <w:rPr>
          <w:rFonts w:ascii="Times New Roman" w:hAnsi="Times New Roman" w:cs="Times New Roman"/>
          <w:lang w:val="en-US"/>
        </w:rPr>
        <w:t>having the same interest level</w:t>
      </w:r>
      <w:r w:rsidR="00D873EE" w:rsidRPr="00061496">
        <w:rPr>
          <w:rFonts w:ascii="Times New Roman" w:hAnsi="Times New Roman" w:cs="Times New Roman"/>
          <w:lang w:val="en-US"/>
        </w:rPr>
        <w:t xml:space="preserve"> in the European Parliament elec</w:t>
      </w:r>
      <w:r w:rsidR="006D321A" w:rsidRPr="00061496">
        <w:rPr>
          <w:rFonts w:ascii="Times New Roman" w:hAnsi="Times New Roman" w:cs="Times New Roman"/>
          <w:lang w:val="en-US"/>
        </w:rPr>
        <w:t>tion before the campaign started (</w:t>
      </w:r>
      <w:r w:rsidR="00465725">
        <w:rPr>
          <w:rFonts w:ascii="Times New Roman" w:hAnsi="Times New Roman" w:cs="Times New Roman"/>
          <w:lang w:val="en-US"/>
        </w:rPr>
        <w:t>10% “very interested”; 33</w:t>
      </w:r>
      <w:r w:rsidR="001F58D8" w:rsidRPr="00061496">
        <w:rPr>
          <w:rFonts w:ascii="Times New Roman" w:hAnsi="Times New Roman" w:cs="Times New Roman"/>
          <w:lang w:val="en-US"/>
        </w:rPr>
        <w:t>% “fairly interested”</w:t>
      </w:r>
      <w:r w:rsidR="006D321A" w:rsidRPr="00061496">
        <w:rPr>
          <w:rFonts w:ascii="Times New Roman" w:hAnsi="Times New Roman" w:cs="Times New Roman"/>
          <w:lang w:val="en-US"/>
        </w:rPr>
        <w:t>)</w:t>
      </w:r>
      <w:r w:rsidR="00D873EE" w:rsidRPr="00061496">
        <w:rPr>
          <w:rFonts w:ascii="Times New Roman" w:hAnsi="Times New Roman" w:cs="Times New Roman"/>
          <w:lang w:val="en-US"/>
        </w:rPr>
        <w:t xml:space="preserve"> </w:t>
      </w:r>
      <w:r w:rsidR="00DC132F" w:rsidRPr="00061496">
        <w:rPr>
          <w:rFonts w:ascii="Times New Roman" w:hAnsi="Times New Roman" w:cs="Times New Roman"/>
          <w:lang w:val="en-US"/>
        </w:rPr>
        <w:t xml:space="preserve">and </w:t>
      </w:r>
      <w:r w:rsidR="00D873EE" w:rsidRPr="00061496">
        <w:rPr>
          <w:rFonts w:ascii="Times New Roman" w:hAnsi="Times New Roman" w:cs="Times New Roman"/>
          <w:lang w:val="en-US"/>
        </w:rPr>
        <w:t>a slightly high</w:t>
      </w:r>
      <w:r w:rsidR="006D321A" w:rsidRPr="00061496">
        <w:rPr>
          <w:rFonts w:ascii="Times New Roman" w:hAnsi="Times New Roman" w:cs="Times New Roman"/>
          <w:lang w:val="en-US"/>
        </w:rPr>
        <w:t>er</w:t>
      </w:r>
      <w:r w:rsidR="00465725">
        <w:rPr>
          <w:rFonts w:ascii="Times New Roman" w:hAnsi="Times New Roman" w:cs="Times New Roman"/>
          <w:lang w:val="en-US"/>
        </w:rPr>
        <w:t xml:space="preserve"> 44</w:t>
      </w:r>
      <w:r w:rsidR="00D873EE" w:rsidRPr="00061496">
        <w:rPr>
          <w:rFonts w:ascii="Times New Roman" w:hAnsi="Times New Roman" w:cs="Times New Roman"/>
          <w:lang w:val="en-US"/>
        </w:rPr>
        <w:t xml:space="preserve">% </w:t>
      </w:r>
      <w:r w:rsidR="006D321A" w:rsidRPr="00061496">
        <w:rPr>
          <w:rFonts w:ascii="Times New Roman" w:hAnsi="Times New Roman" w:cs="Times New Roman"/>
          <w:lang w:val="en-US"/>
        </w:rPr>
        <w:t>after the campaign was complete</w:t>
      </w:r>
      <w:r w:rsidR="00465725">
        <w:rPr>
          <w:rFonts w:ascii="Times New Roman" w:hAnsi="Times New Roman" w:cs="Times New Roman"/>
          <w:lang w:val="en-US"/>
        </w:rPr>
        <w:t xml:space="preserve"> (10% “very interested”; 34</w:t>
      </w:r>
      <w:r w:rsidR="001F58D8" w:rsidRPr="00061496">
        <w:rPr>
          <w:rFonts w:ascii="Times New Roman" w:hAnsi="Times New Roman" w:cs="Times New Roman"/>
          <w:lang w:val="en-US"/>
        </w:rPr>
        <w:t>% “fairly interested”)</w:t>
      </w:r>
      <w:r w:rsidR="006D321A" w:rsidRPr="00061496">
        <w:rPr>
          <w:rFonts w:ascii="Times New Roman" w:hAnsi="Times New Roman" w:cs="Times New Roman"/>
          <w:lang w:val="en-US"/>
        </w:rPr>
        <w:t xml:space="preserve">. </w:t>
      </w:r>
      <w:r w:rsidR="00DC132F" w:rsidRPr="00061496">
        <w:rPr>
          <w:rFonts w:ascii="Times New Roman" w:hAnsi="Times New Roman" w:cs="Times New Roman"/>
          <w:lang w:val="en-US"/>
        </w:rPr>
        <w:t xml:space="preserve">In other words, against the benchmark of general political interest, the European Parliament election </w:t>
      </w:r>
      <w:r w:rsidR="00B224FB">
        <w:rPr>
          <w:rFonts w:ascii="Times New Roman" w:hAnsi="Times New Roman" w:cs="Times New Roman"/>
          <w:lang w:val="en-US"/>
        </w:rPr>
        <w:t xml:space="preserve">fell short, indicating a degree of </w:t>
      </w:r>
      <w:r w:rsidR="00FA77A1">
        <w:rPr>
          <w:rFonts w:ascii="Times New Roman" w:hAnsi="Times New Roman" w:cs="Times New Roman"/>
          <w:lang w:val="en-US"/>
        </w:rPr>
        <w:t>second-</w:t>
      </w:r>
      <w:proofErr w:type="spellStart"/>
      <w:r w:rsidR="00FA77A1">
        <w:rPr>
          <w:rFonts w:ascii="Times New Roman" w:hAnsi="Times New Roman" w:cs="Times New Roman"/>
          <w:lang w:val="en-US"/>
        </w:rPr>
        <w:t>orderness</w:t>
      </w:r>
      <w:proofErr w:type="spellEnd"/>
      <w:r w:rsidR="00FA77A1">
        <w:rPr>
          <w:rFonts w:ascii="Times New Roman" w:hAnsi="Times New Roman" w:cs="Times New Roman"/>
          <w:lang w:val="en-US"/>
        </w:rPr>
        <w:t xml:space="preserve"> in terms of voter attention.</w:t>
      </w:r>
    </w:p>
    <w:p w14:paraId="0654EFB3" w14:textId="3A851BBF" w:rsidR="00573F7F" w:rsidRPr="00061496" w:rsidRDefault="005679F9" w:rsidP="00573F7F">
      <w:pPr>
        <w:keepNext/>
        <w:keepLines/>
        <w:spacing w:line="360" w:lineRule="auto"/>
        <w:ind w:firstLine="708"/>
        <w:jc w:val="both"/>
        <w:rPr>
          <w:rFonts w:ascii="Times New Roman" w:hAnsi="Times New Roman" w:cs="Times New Roman"/>
          <w:lang w:val="en-US"/>
        </w:rPr>
      </w:pPr>
      <w:r w:rsidRPr="00061496">
        <w:rPr>
          <w:rFonts w:ascii="Times New Roman" w:hAnsi="Times New Roman" w:cs="Times New Roman"/>
          <w:lang w:val="en-US"/>
        </w:rPr>
        <w:t>Figure 4</w:t>
      </w:r>
      <w:r w:rsidR="00DC132F" w:rsidRPr="00061496">
        <w:rPr>
          <w:rFonts w:ascii="Times New Roman" w:hAnsi="Times New Roman" w:cs="Times New Roman"/>
          <w:lang w:val="en-US"/>
        </w:rPr>
        <w:t xml:space="preserve"> takes this analysis one step further, this time directly comparing how closely respondents in the RECONNECT survey reported following the EP and national campaign, measured directly after EP Election Day (i.e.</w:t>
      </w:r>
      <w:r w:rsidR="007564F4">
        <w:rPr>
          <w:rFonts w:ascii="Times New Roman" w:hAnsi="Times New Roman" w:cs="Times New Roman"/>
          <w:lang w:val="en-US"/>
        </w:rPr>
        <w:t xml:space="preserve"> also deep into the national election campaign – just 9 days before the election itself</w:t>
      </w:r>
      <w:r w:rsidR="00DC132F" w:rsidRPr="00061496">
        <w:rPr>
          <w:rFonts w:ascii="Times New Roman" w:hAnsi="Times New Roman" w:cs="Times New Roman"/>
          <w:lang w:val="en-US"/>
        </w:rPr>
        <w:t xml:space="preserve">). </w:t>
      </w:r>
      <w:r w:rsidR="007564F4">
        <w:rPr>
          <w:rFonts w:ascii="Times New Roman" w:hAnsi="Times New Roman" w:cs="Times New Roman"/>
          <w:lang w:val="en-US"/>
        </w:rPr>
        <w:t>In separate questions, r</w:t>
      </w:r>
      <w:r w:rsidR="004420E1" w:rsidRPr="00061496">
        <w:rPr>
          <w:rFonts w:ascii="Times New Roman" w:hAnsi="Times New Roman" w:cs="Times New Roman"/>
          <w:lang w:val="en-US"/>
        </w:rPr>
        <w:t xml:space="preserve">espondents were asked “How closely did you follow the recent European Parliament election?” and “…how closely have you been following the national election campaign to elect representatives to the Folketing, taking </w:t>
      </w:r>
      <w:r w:rsidR="00573F7F" w:rsidRPr="00061496">
        <w:rPr>
          <w:rFonts w:ascii="Times New Roman" w:hAnsi="Times New Roman" w:cs="Times New Roman"/>
          <w:lang w:val="en-US"/>
        </w:rPr>
        <w:t>place in June 2019?” The available response options for both questions were “very closely”, “fairly closely”, “a little” and “not at al</w:t>
      </w:r>
      <w:r w:rsidR="00FA77A1">
        <w:rPr>
          <w:rFonts w:ascii="Times New Roman" w:hAnsi="Times New Roman" w:cs="Times New Roman"/>
          <w:lang w:val="en-US"/>
        </w:rPr>
        <w:t>l”. Results reveal that while 62</w:t>
      </w:r>
      <w:r w:rsidR="00573F7F" w:rsidRPr="00061496">
        <w:rPr>
          <w:rFonts w:ascii="Times New Roman" w:hAnsi="Times New Roman" w:cs="Times New Roman"/>
          <w:lang w:val="en-US"/>
        </w:rPr>
        <w:t>% of respondents reported following the national election campaign “very”</w:t>
      </w:r>
      <w:r w:rsidR="001F58D8" w:rsidRPr="00061496">
        <w:rPr>
          <w:rFonts w:ascii="Times New Roman" w:hAnsi="Times New Roman" w:cs="Times New Roman"/>
          <w:lang w:val="en-US"/>
        </w:rPr>
        <w:t xml:space="preserve"> </w:t>
      </w:r>
      <w:r w:rsidR="00573F7F" w:rsidRPr="00061496">
        <w:rPr>
          <w:rFonts w:ascii="Times New Roman" w:hAnsi="Times New Roman" w:cs="Times New Roman"/>
          <w:lang w:val="en-US"/>
        </w:rPr>
        <w:t>or “fairly”</w:t>
      </w:r>
      <w:r w:rsidR="001F58D8" w:rsidRPr="00061496">
        <w:rPr>
          <w:rFonts w:ascii="Times New Roman" w:hAnsi="Times New Roman" w:cs="Times New Roman"/>
          <w:lang w:val="en-US"/>
        </w:rPr>
        <w:t xml:space="preserve"> </w:t>
      </w:r>
      <w:r w:rsidR="00573F7F" w:rsidRPr="00061496">
        <w:rPr>
          <w:rFonts w:ascii="Times New Roman" w:hAnsi="Times New Roman" w:cs="Times New Roman"/>
          <w:lang w:val="en-US"/>
        </w:rPr>
        <w:t>closely</w:t>
      </w:r>
      <w:r w:rsidR="00FA77A1">
        <w:rPr>
          <w:rFonts w:ascii="Times New Roman" w:hAnsi="Times New Roman" w:cs="Times New Roman"/>
          <w:lang w:val="en-US"/>
        </w:rPr>
        <w:t xml:space="preserve"> (19% and 44</w:t>
      </w:r>
      <w:r w:rsidR="001F58D8" w:rsidRPr="00061496">
        <w:rPr>
          <w:rFonts w:ascii="Times New Roman" w:hAnsi="Times New Roman" w:cs="Times New Roman"/>
          <w:lang w:val="en-US"/>
        </w:rPr>
        <w:t>%)</w:t>
      </w:r>
      <w:r w:rsidR="00EB4C4A">
        <w:rPr>
          <w:rFonts w:ascii="Times New Roman" w:hAnsi="Times New Roman" w:cs="Times New Roman"/>
          <w:lang w:val="en-US"/>
        </w:rPr>
        <w:t>, only 43</w:t>
      </w:r>
      <w:r w:rsidR="00573F7F" w:rsidRPr="00061496">
        <w:rPr>
          <w:rFonts w:ascii="Times New Roman" w:hAnsi="Times New Roman" w:cs="Times New Roman"/>
          <w:lang w:val="en-US"/>
        </w:rPr>
        <w:t xml:space="preserve">% </w:t>
      </w:r>
      <w:r w:rsidR="001F58D8" w:rsidRPr="00061496">
        <w:rPr>
          <w:rFonts w:ascii="Times New Roman" w:hAnsi="Times New Roman" w:cs="Times New Roman"/>
          <w:lang w:val="en-US"/>
        </w:rPr>
        <w:t>reported following the</w:t>
      </w:r>
      <w:r w:rsidR="00573F7F" w:rsidRPr="00061496">
        <w:rPr>
          <w:rFonts w:ascii="Times New Roman" w:hAnsi="Times New Roman" w:cs="Times New Roman"/>
          <w:lang w:val="en-US"/>
        </w:rPr>
        <w:t xml:space="preserve"> EP election campaign</w:t>
      </w:r>
      <w:r w:rsidR="00EB4C4A">
        <w:rPr>
          <w:rFonts w:ascii="Times New Roman" w:hAnsi="Times New Roman" w:cs="Times New Roman"/>
          <w:lang w:val="en-US"/>
        </w:rPr>
        <w:t xml:space="preserve"> as closely (</w:t>
      </w:r>
      <w:r w:rsidR="00695912">
        <w:rPr>
          <w:rFonts w:ascii="Times New Roman" w:hAnsi="Times New Roman" w:cs="Times New Roman"/>
          <w:lang w:val="en-US"/>
        </w:rPr>
        <w:t>8% “very” and 35</w:t>
      </w:r>
      <w:r w:rsidR="001F58D8" w:rsidRPr="00061496">
        <w:rPr>
          <w:rFonts w:ascii="Times New Roman" w:hAnsi="Times New Roman" w:cs="Times New Roman"/>
          <w:lang w:val="en-US"/>
        </w:rPr>
        <w:t>% “fairly” closely)</w:t>
      </w:r>
      <w:r w:rsidR="00573F7F" w:rsidRPr="00061496">
        <w:rPr>
          <w:rFonts w:ascii="Times New Roman" w:hAnsi="Times New Roman" w:cs="Times New Roman"/>
          <w:lang w:val="en-US"/>
        </w:rPr>
        <w:t xml:space="preserve">. Moreover, more than twice as many respondents reported following the national election “very closely” </w:t>
      </w:r>
      <w:r w:rsidR="00EB4C4A">
        <w:rPr>
          <w:rFonts w:ascii="Times New Roman" w:hAnsi="Times New Roman" w:cs="Times New Roman"/>
          <w:lang w:val="en-US"/>
        </w:rPr>
        <w:t>(19</w:t>
      </w:r>
      <w:r w:rsidR="00573F7F" w:rsidRPr="00061496">
        <w:rPr>
          <w:rFonts w:ascii="Times New Roman" w:hAnsi="Times New Roman" w:cs="Times New Roman"/>
          <w:lang w:val="en-US"/>
        </w:rPr>
        <w:t>%) than did so for the EP electio</w:t>
      </w:r>
      <w:r w:rsidR="00EB4C4A">
        <w:rPr>
          <w:rFonts w:ascii="Times New Roman" w:hAnsi="Times New Roman" w:cs="Times New Roman"/>
          <w:lang w:val="en-US"/>
        </w:rPr>
        <w:t>n campaign (8</w:t>
      </w:r>
      <w:r w:rsidRPr="00061496">
        <w:rPr>
          <w:rFonts w:ascii="Times New Roman" w:hAnsi="Times New Roman" w:cs="Times New Roman"/>
          <w:lang w:val="en-US"/>
        </w:rPr>
        <w:t xml:space="preserve">%). Though Figure 3 and </w:t>
      </w:r>
      <w:r w:rsidR="00EB4C4A">
        <w:rPr>
          <w:rFonts w:ascii="Times New Roman" w:hAnsi="Times New Roman" w:cs="Times New Roman"/>
          <w:lang w:val="en-US"/>
        </w:rPr>
        <w:t xml:space="preserve">Figure </w:t>
      </w:r>
      <w:r w:rsidRPr="00061496">
        <w:rPr>
          <w:rFonts w:ascii="Times New Roman" w:hAnsi="Times New Roman" w:cs="Times New Roman"/>
          <w:lang w:val="en-US"/>
        </w:rPr>
        <w:t>4</w:t>
      </w:r>
      <w:r w:rsidR="00573F7F" w:rsidRPr="00061496">
        <w:rPr>
          <w:rFonts w:ascii="Times New Roman" w:hAnsi="Times New Roman" w:cs="Times New Roman"/>
          <w:lang w:val="en-US"/>
        </w:rPr>
        <w:t xml:space="preserve"> do indicate that a large number of voters were interested in the EP election campaign – </w:t>
      </w:r>
      <w:r w:rsidR="00695912">
        <w:rPr>
          <w:rFonts w:ascii="Times New Roman" w:hAnsi="Times New Roman" w:cs="Times New Roman"/>
          <w:lang w:val="en-US"/>
        </w:rPr>
        <w:t>slightly short of half of survey respondents reported</w:t>
      </w:r>
      <w:r w:rsidR="00573F7F" w:rsidRPr="00061496">
        <w:rPr>
          <w:rFonts w:ascii="Times New Roman" w:hAnsi="Times New Roman" w:cs="Times New Roman"/>
          <w:lang w:val="en-US"/>
        </w:rPr>
        <w:t xml:space="preserve"> following the campaign “fairly” or “very closely”</w:t>
      </w:r>
      <w:r w:rsidR="007564F4">
        <w:rPr>
          <w:rFonts w:ascii="Times New Roman" w:hAnsi="Times New Roman" w:cs="Times New Roman"/>
          <w:lang w:val="en-US"/>
        </w:rPr>
        <w:t>,</w:t>
      </w:r>
      <w:r w:rsidR="00573F7F" w:rsidRPr="00061496">
        <w:rPr>
          <w:rFonts w:ascii="Times New Roman" w:hAnsi="Times New Roman" w:cs="Times New Roman"/>
          <w:lang w:val="en-US"/>
        </w:rPr>
        <w:t xml:space="preserve"> and </w:t>
      </w:r>
      <w:r w:rsidR="00EB4C4A">
        <w:rPr>
          <w:rFonts w:ascii="Times New Roman" w:hAnsi="Times New Roman" w:cs="Times New Roman"/>
          <w:lang w:val="en-US"/>
        </w:rPr>
        <w:t>a similar share</w:t>
      </w:r>
      <w:r w:rsidR="00573F7F" w:rsidRPr="00061496">
        <w:rPr>
          <w:rFonts w:ascii="Times New Roman" w:hAnsi="Times New Roman" w:cs="Times New Roman"/>
          <w:lang w:val="en-US"/>
        </w:rPr>
        <w:t xml:space="preserve"> w</w:t>
      </w:r>
      <w:r w:rsidR="00EB4C4A">
        <w:rPr>
          <w:rFonts w:ascii="Times New Roman" w:hAnsi="Times New Roman" w:cs="Times New Roman"/>
          <w:lang w:val="en-US"/>
        </w:rPr>
        <w:t>as</w:t>
      </w:r>
      <w:r w:rsidR="00573F7F" w:rsidRPr="00061496">
        <w:rPr>
          <w:rFonts w:ascii="Times New Roman" w:hAnsi="Times New Roman" w:cs="Times New Roman"/>
          <w:lang w:val="en-US"/>
        </w:rPr>
        <w:t xml:space="preserve"> “fairly” or “very” interested in the election – it is clear</w:t>
      </w:r>
      <w:r w:rsidR="007463F1">
        <w:rPr>
          <w:rFonts w:ascii="Times New Roman" w:hAnsi="Times New Roman" w:cs="Times New Roman"/>
          <w:lang w:val="en-US"/>
        </w:rPr>
        <w:t xml:space="preserve"> that</w:t>
      </w:r>
      <w:r w:rsidR="00573F7F" w:rsidRPr="00061496">
        <w:rPr>
          <w:rFonts w:ascii="Times New Roman" w:hAnsi="Times New Roman" w:cs="Times New Roman"/>
          <w:lang w:val="en-US"/>
        </w:rPr>
        <w:t xml:space="preserve"> the national election was markedly more successful in generating voting interest.</w:t>
      </w:r>
    </w:p>
    <w:p w14:paraId="1988B1A1" w14:textId="045F84A6" w:rsidR="00CF6C55" w:rsidRPr="00CA4742" w:rsidRDefault="00CF6C55" w:rsidP="00BF3326">
      <w:pPr>
        <w:keepNext/>
        <w:keepLines/>
        <w:spacing w:line="276" w:lineRule="auto"/>
        <w:rPr>
          <w:rFonts w:ascii="Times New Roman" w:hAnsi="Times New Roman" w:cs="Times New Roman"/>
          <w:color w:val="000000" w:themeColor="text1"/>
          <w:lang w:val="en-US"/>
        </w:rPr>
      </w:pPr>
    </w:p>
    <w:p w14:paraId="6427680F" w14:textId="6FE96AC9" w:rsidR="00C42CCC" w:rsidRPr="00CA4742" w:rsidRDefault="00DC18BB" w:rsidP="009017B0">
      <w:pPr>
        <w:spacing w:line="360" w:lineRule="auto"/>
        <w:jc w:val="both"/>
        <w:rPr>
          <w:rFonts w:ascii="Times New Roman" w:hAnsi="Times New Roman" w:cs="Times New Roman"/>
          <w:b/>
          <w:lang w:val="en-US"/>
        </w:rPr>
      </w:pPr>
      <w:r w:rsidRPr="00CA4742">
        <w:rPr>
          <w:rFonts w:ascii="Times New Roman" w:hAnsi="Times New Roman" w:cs="Times New Roman"/>
          <w:b/>
          <w:lang w:val="en-US"/>
        </w:rPr>
        <w:t>Figure 3</w:t>
      </w:r>
      <w:r w:rsidRPr="00CA4742">
        <w:rPr>
          <w:rFonts w:ascii="Times New Roman" w:hAnsi="Times New Roman" w:cs="Times New Roman"/>
          <w:lang w:val="en-US"/>
        </w:rPr>
        <w:t>:</w:t>
      </w:r>
      <w:r w:rsidRPr="00CA4742">
        <w:rPr>
          <w:rFonts w:ascii="Times New Roman" w:hAnsi="Times New Roman" w:cs="Times New Roman"/>
          <w:b/>
          <w:lang w:val="en-US"/>
        </w:rPr>
        <w:t xml:space="preserve"> </w:t>
      </w:r>
      <w:r w:rsidRPr="00CA4742">
        <w:rPr>
          <w:rFonts w:ascii="Times New Roman" w:hAnsi="Times New Roman" w:cs="Times New Roman"/>
          <w:lang w:val="en-US"/>
        </w:rPr>
        <w:t>Interest in politics (pre-election) and the European Parliament election campaign (pre- and post-election)</w:t>
      </w:r>
    </w:p>
    <w:p w14:paraId="41D7DC7E" w14:textId="133ACCEF" w:rsidR="00DC18BB" w:rsidRPr="00CA4742" w:rsidRDefault="00CA4742" w:rsidP="00CA4742">
      <w:pPr>
        <w:spacing w:line="360" w:lineRule="auto"/>
        <w:jc w:val="center"/>
        <w:rPr>
          <w:rFonts w:ascii="Times New Roman" w:hAnsi="Times New Roman" w:cs="Times New Roman"/>
          <w:b/>
          <w:lang w:val="en-US"/>
        </w:rPr>
      </w:pPr>
      <w:r w:rsidRPr="00CA4742">
        <w:rPr>
          <w:rFonts w:ascii="Times New Roman" w:hAnsi="Times New Roman" w:cs="Times New Roman"/>
          <w:b/>
          <w:noProof/>
          <w:lang w:val="da-DK" w:eastAsia="da-DK"/>
        </w:rPr>
        <w:drawing>
          <wp:inline distT="0" distB="0" distL="0" distR="0" wp14:anchorId="52F6EC98" wp14:editId="7E719A52">
            <wp:extent cx="5082064" cy="3694176"/>
            <wp:effectExtent l="0" t="0" r="4445" b="1905"/>
            <wp:docPr id="8" name="Picture 8" descr="Y:\Kritzinger\RECONNECT\BOOK PROJECT\graphs\weighted\interest in EP campaign graphs\weighted_Denmark_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Kritzinger\RECONNECT\BOOK PROJECT\graphs\weighted\interest in EP campaign graphs\weighted_Denmark_intere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6716" cy="3697557"/>
                    </a:xfrm>
                    <a:prstGeom prst="rect">
                      <a:avLst/>
                    </a:prstGeom>
                    <a:noFill/>
                    <a:ln>
                      <a:noFill/>
                    </a:ln>
                  </pic:spPr>
                </pic:pic>
              </a:graphicData>
            </a:graphic>
          </wp:inline>
        </w:drawing>
      </w:r>
    </w:p>
    <w:p w14:paraId="7C3AB81C" w14:textId="4417BB38" w:rsidR="00B90F05" w:rsidRPr="00CA4742" w:rsidRDefault="00B90F05" w:rsidP="00B90F05">
      <w:pPr>
        <w:spacing w:line="360" w:lineRule="auto"/>
        <w:jc w:val="both"/>
        <w:rPr>
          <w:rFonts w:ascii="Times New Roman" w:hAnsi="Times New Roman" w:cs="Times New Roman"/>
          <w:lang w:val="en-US"/>
        </w:rPr>
      </w:pPr>
      <w:r w:rsidRPr="00CA4742">
        <w:rPr>
          <w:rFonts w:ascii="Times New Roman" w:hAnsi="Times New Roman" w:cs="Times New Roman"/>
          <w:b/>
          <w:lang w:val="en-US"/>
        </w:rPr>
        <w:t>Source</w:t>
      </w:r>
      <w:r w:rsidRPr="00CA4742">
        <w:rPr>
          <w:rFonts w:ascii="Times New Roman" w:hAnsi="Times New Roman" w:cs="Times New Roman"/>
          <w:lang w:val="en-US"/>
        </w:rPr>
        <w:t>:</w:t>
      </w:r>
      <w:r w:rsidRPr="00CA4742">
        <w:rPr>
          <w:rFonts w:ascii="Times New Roman" w:hAnsi="Times New Roman" w:cs="Times New Roman"/>
          <w:b/>
          <w:lang w:val="en-US"/>
        </w:rPr>
        <w:t xml:space="preserve"> </w:t>
      </w:r>
      <w:r w:rsidRPr="00CA4742">
        <w:rPr>
          <w:rFonts w:ascii="Times New Roman" w:hAnsi="Times New Roman" w:cs="Times New Roman"/>
          <w:lang w:val="en-US"/>
        </w:rPr>
        <w:t>RECONNECT 2019 European election survey data. Fieldwork period: P</w:t>
      </w:r>
      <w:r w:rsidR="007564F4">
        <w:rPr>
          <w:rFonts w:ascii="Times New Roman" w:hAnsi="Times New Roman" w:cs="Times New Roman"/>
          <w:lang w:val="en-US"/>
        </w:rPr>
        <w:t>re-election wave, April 2-</w:t>
      </w:r>
      <w:r w:rsidR="00B772A3" w:rsidRPr="00CA4742">
        <w:rPr>
          <w:rFonts w:ascii="Times New Roman" w:hAnsi="Times New Roman" w:cs="Times New Roman"/>
          <w:lang w:val="en-US"/>
        </w:rPr>
        <w:t>19</w:t>
      </w:r>
      <w:r w:rsidRPr="00CA4742">
        <w:rPr>
          <w:rFonts w:ascii="Times New Roman" w:hAnsi="Times New Roman" w:cs="Times New Roman"/>
          <w:lang w:val="en-US"/>
        </w:rPr>
        <w:t xml:space="preserve"> 2019; Post-</w:t>
      </w:r>
      <w:r w:rsidR="00B772A3" w:rsidRPr="00CA4742">
        <w:rPr>
          <w:rFonts w:ascii="Times New Roman" w:hAnsi="Times New Roman" w:cs="Times New Roman"/>
          <w:lang w:val="en-US"/>
        </w:rPr>
        <w:t>election</w:t>
      </w:r>
      <w:r w:rsidR="009D7958" w:rsidRPr="00CA4742">
        <w:rPr>
          <w:rFonts w:ascii="Times New Roman" w:hAnsi="Times New Roman" w:cs="Times New Roman"/>
          <w:lang w:val="en-US"/>
        </w:rPr>
        <w:t xml:space="preserve"> wave</w:t>
      </w:r>
      <w:r w:rsidR="005419DA" w:rsidRPr="00CA4742">
        <w:rPr>
          <w:rFonts w:ascii="Times New Roman" w:hAnsi="Times New Roman" w:cs="Times New Roman"/>
          <w:lang w:val="en-US"/>
        </w:rPr>
        <w:t>, May 27-</w:t>
      </w:r>
      <w:r w:rsidR="00B772A3" w:rsidRPr="00CA4742">
        <w:rPr>
          <w:rFonts w:ascii="Times New Roman" w:hAnsi="Times New Roman" w:cs="Times New Roman"/>
          <w:lang w:val="en-US"/>
        </w:rPr>
        <w:t>June 24</w:t>
      </w:r>
      <w:r w:rsidR="005419DA" w:rsidRPr="00CA4742">
        <w:rPr>
          <w:rFonts w:ascii="Times New Roman" w:hAnsi="Times New Roman" w:cs="Times New Roman"/>
          <w:lang w:val="en-US"/>
        </w:rPr>
        <w:t xml:space="preserve"> 2019</w:t>
      </w:r>
      <w:r w:rsidRPr="00CA4742">
        <w:rPr>
          <w:rFonts w:ascii="Times New Roman" w:hAnsi="Times New Roman" w:cs="Times New Roman"/>
          <w:lang w:val="en-US"/>
        </w:rPr>
        <w:t>.</w:t>
      </w:r>
    </w:p>
    <w:p w14:paraId="79221BD0" w14:textId="490422DB" w:rsidR="00B90F05" w:rsidRPr="00CA4742" w:rsidRDefault="00B90F05" w:rsidP="009017B0">
      <w:pPr>
        <w:spacing w:line="360" w:lineRule="auto"/>
        <w:jc w:val="both"/>
        <w:rPr>
          <w:rFonts w:ascii="Times New Roman" w:hAnsi="Times New Roman" w:cs="Times New Roman"/>
          <w:b/>
          <w:lang w:val="en-US"/>
        </w:rPr>
      </w:pPr>
    </w:p>
    <w:p w14:paraId="693C09E3" w14:textId="6E41BDC9" w:rsidR="00DC18BB" w:rsidRPr="00CA4742" w:rsidRDefault="00DC18BB" w:rsidP="009017B0">
      <w:pPr>
        <w:spacing w:line="360" w:lineRule="auto"/>
        <w:jc w:val="both"/>
        <w:rPr>
          <w:rFonts w:ascii="Times New Roman" w:hAnsi="Times New Roman" w:cs="Times New Roman"/>
          <w:b/>
          <w:lang w:val="en-US"/>
        </w:rPr>
      </w:pPr>
      <w:r w:rsidRPr="00CA4742">
        <w:rPr>
          <w:rFonts w:ascii="Times New Roman" w:hAnsi="Times New Roman" w:cs="Times New Roman"/>
          <w:b/>
          <w:lang w:val="en-US"/>
        </w:rPr>
        <w:t>Figure 4</w:t>
      </w:r>
      <w:r w:rsidRPr="00CA4742">
        <w:rPr>
          <w:rFonts w:ascii="Times New Roman" w:hAnsi="Times New Roman" w:cs="Times New Roman"/>
          <w:lang w:val="en-US"/>
        </w:rPr>
        <w:t>:</w:t>
      </w:r>
      <w:r w:rsidRPr="00CA4742">
        <w:rPr>
          <w:rFonts w:ascii="Times New Roman" w:hAnsi="Times New Roman" w:cs="Times New Roman"/>
          <w:b/>
          <w:lang w:val="en-US"/>
        </w:rPr>
        <w:t xml:space="preserve"> </w:t>
      </w:r>
      <w:r w:rsidRPr="00CA4742">
        <w:rPr>
          <w:rFonts w:ascii="Times New Roman" w:hAnsi="Times New Roman" w:cs="Times New Roman"/>
          <w:lang w:val="en-US"/>
        </w:rPr>
        <w:t>Closeness of following of EP and national election</w:t>
      </w:r>
    </w:p>
    <w:p w14:paraId="57873827" w14:textId="5C9D014C" w:rsidR="00DC18BB" w:rsidRPr="00CA4742" w:rsidRDefault="00CA4742" w:rsidP="005679F9">
      <w:pPr>
        <w:spacing w:line="360" w:lineRule="auto"/>
        <w:jc w:val="center"/>
        <w:rPr>
          <w:rFonts w:ascii="Times New Roman" w:hAnsi="Times New Roman" w:cs="Times New Roman"/>
          <w:b/>
          <w:noProof/>
          <w:lang w:val="en-US"/>
        </w:rPr>
      </w:pPr>
      <w:r w:rsidRPr="00CA4742">
        <w:rPr>
          <w:rFonts w:ascii="Times New Roman" w:hAnsi="Times New Roman" w:cs="Times New Roman"/>
          <w:b/>
          <w:noProof/>
          <w:lang w:val="da-DK" w:eastAsia="da-DK"/>
        </w:rPr>
        <w:drawing>
          <wp:inline distT="0" distB="0" distL="0" distR="0" wp14:anchorId="378ECBB6" wp14:editId="28B730D7">
            <wp:extent cx="4776826" cy="3465157"/>
            <wp:effectExtent l="0" t="0" r="5080" b="2540"/>
            <wp:docPr id="7" name="Picture 7" descr="\\fs.univie.ac.at\homedirs\wilhelmj87\Documents\Rplot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univie.ac.at\homedirs\wilhelmj87\Documents\Rplot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152" cy="3471197"/>
                    </a:xfrm>
                    <a:prstGeom prst="rect">
                      <a:avLst/>
                    </a:prstGeom>
                    <a:noFill/>
                    <a:ln>
                      <a:noFill/>
                    </a:ln>
                  </pic:spPr>
                </pic:pic>
              </a:graphicData>
            </a:graphic>
          </wp:inline>
        </w:drawing>
      </w:r>
    </w:p>
    <w:p w14:paraId="1D591ECB" w14:textId="698F97D4" w:rsidR="005419DA" w:rsidRPr="00182726" w:rsidRDefault="005419DA" w:rsidP="009017B0">
      <w:pPr>
        <w:spacing w:line="360" w:lineRule="auto"/>
        <w:jc w:val="both"/>
        <w:rPr>
          <w:rFonts w:ascii="Times New Roman" w:hAnsi="Times New Roman" w:cs="Times New Roman"/>
          <w:lang w:val="en-US"/>
        </w:rPr>
      </w:pPr>
      <w:r w:rsidRPr="00CA4742">
        <w:rPr>
          <w:rFonts w:ascii="Times New Roman" w:hAnsi="Times New Roman" w:cs="Times New Roman"/>
          <w:b/>
          <w:lang w:val="en-US"/>
        </w:rPr>
        <w:t>Source</w:t>
      </w:r>
      <w:r w:rsidRPr="00CA4742">
        <w:rPr>
          <w:rFonts w:ascii="Times New Roman" w:hAnsi="Times New Roman" w:cs="Times New Roman"/>
          <w:lang w:val="en-US"/>
        </w:rPr>
        <w:t>:</w:t>
      </w:r>
      <w:r w:rsidRPr="00CA4742">
        <w:rPr>
          <w:rFonts w:ascii="Times New Roman" w:hAnsi="Times New Roman" w:cs="Times New Roman"/>
          <w:b/>
          <w:lang w:val="en-US"/>
        </w:rPr>
        <w:t xml:space="preserve"> </w:t>
      </w:r>
      <w:r w:rsidRPr="00CA4742">
        <w:rPr>
          <w:rFonts w:ascii="Times New Roman" w:hAnsi="Times New Roman" w:cs="Times New Roman"/>
          <w:lang w:val="en-US"/>
        </w:rPr>
        <w:t>RECONNECT 2019 European election survey data. Fieldwork period: May 27-June 24 2019.</w:t>
      </w:r>
      <w:r w:rsidR="00CB791D" w:rsidRPr="00CA4742">
        <w:rPr>
          <w:rFonts w:ascii="Times New Roman" w:hAnsi="Times New Roman" w:cs="Times New Roman"/>
          <w:lang w:val="en-US"/>
        </w:rPr>
        <w:t xml:space="preserve"> </w:t>
      </w:r>
    </w:p>
    <w:p w14:paraId="42B7F445" w14:textId="77777777" w:rsidR="00DC18BB" w:rsidRPr="00CA4742" w:rsidRDefault="00DC18BB" w:rsidP="009017B0">
      <w:pPr>
        <w:spacing w:line="360" w:lineRule="auto"/>
        <w:jc w:val="both"/>
        <w:rPr>
          <w:rFonts w:ascii="Times New Roman" w:hAnsi="Times New Roman" w:cs="Times New Roman"/>
          <w:b/>
          <w:lang w:val="en-US"/>
        </w:rPr>
      </w:pPr>
    </w:p>
    <w:p w14:paraId="41B09E02" w14:textId="27057346" w:rsidR="00B90F05" w:rsidRPr="00D7212C" w:rsidRDefault="004D36AF" w:rsidP="00D7212C">
      <w:pPr>
        <w:spacing w:line="360" w:lineRule="auto"/>
        <w:ind w:firstLine="708"/>
        <w:jc w:val="both"/>
        <w:rPr>
          <w:rFonts w:ascii="Times New Roman" w:hAnsi="Times New Roman" w:cs="Times New Roman"/>
          <w:lang w:val="en-US"/>
        </w:rPr>
      </w:pPr>
      <w:r w:rsidRPr="00CA4742">
        <w:rPr>
          <w:rFonts w:ascii="Times New Roman" w:hAnsi="Times New Roman" w:cs="Times New Roman"/>
          <w:lang w:val="en-US"/>
        </w:rPr>
        <w:t xml:space="preserve">Another way to </w:t>
      </w:r>
      <w:r w:rsidR="001F58D8" w:rsidRPr="00CA4742">
        <w:rPr>
          <w:rFonts w:ascii="Times New Roman" w:hAnsi="Times New Roman" w:cs="Times New Roman"/>
          <w:lang w:val="en-US"/>
        </w:rPr>
        <w:t>shed light on</w:t>
      </w:r>
      <w:r w:rsidR="002571F9" w:rsidRPr="00CA4742">
        <w:rPr>
          <w:rFonts w:ascii="Times New Roman" w:hAnsi="Times New Roman" w:cs="Times New Roman"/>
          <w:lang w:val="en-US"/>
        </w:rPr>
        <w:t xml:space="preserve"> whether turnout was driven by engagement with the EP election campaign itself is to </w:t>
      </w:r>
      <w:proofErr w:type="spellStart"/>
      <w:r w:rsidR="002571F9" w:rsidRPr="00CA4742">
        <w:rPr>
          <w:rFonts w:ascii="Times New Roman" w:hAnsi="Times New Roman" w:cs="Times New Roman"/>
          <w:lang w:val="en-US"/>
        </w:rPr>
        <w:t>analyse</w:t>
      </w:r>
      <w:proofErr w:type="spellEnd"/>
      <w:r w:rsidR="002571F9" w:rsidRPr="00CA4742">
        <w:rPr>
          <w:rFonts w:ascii="Times New Roman" w:hAnsi="Times New Roman" w:cs="Times New Roman"/>
          <w:lang w:val="en-US"/>
        </w:rPr>
        <w:t xml:space="preserve"> the issues that we</w:t>
      </w:r>
      <w:r w:rsidR="00FF522C" w:rsidRPr="00CA4742">
        <w:rPr>
          <w:rFonts w:ascii="Times New Roman" w:hAnsi="Times New Roman" w:cs="Times New Roman"/>
          <w:lang w:val="en-US"/>
        </w:rPr>
        <w:t>re important to voters. Figure 5</w:t>
      </w:r>
      <w:r w:rsidR="002571F9" w:rsidRPr="00CA4742">
        <w:rPr>
          <w:rFonts w:ascii="Times New Roman" w:hAnsi="Times New Roman" w:cs="Times New Roman"/>
          <w:lang w:val="en-US"/>
        </w:rPr>
        <w:t xml:space="preserve"> plots this information for respondents taking part in the RECONNECT </w:t>
      </w:r>
      <w:r w:rsidR="007564F4">
        <w:rPr>
          <w:rFonts w:ascii="Times New Roman" w:hAnsi="Times New Roman" w:cs="Times New Roman"/>
          <w:lang w:val="en-US"/>
        </w:rPr>
        <w:t>EP</w:t>
      </w:r>
      <w:r w:rsidR="002571F9" w:rsidRPr="00CA4742">
        <w:rPr>
          <w:rFonts w:ascii="Times New Roman" w:hAnsi="Times New Roman" w:cs="Times New Roman"/>
          <w:lang w:val="en-US"/>
        </w:rPr>
        <w:t xml:space="preserve"> election survey, </w:t>
      </w:r>
      <w:r w:rsidR="007564F4">
        <w:rPr>
          <w:rFonts w:ascii="Times New Roman" w:hAnsi="Times New Roman" w:cs="Times New Roman"/>
          <w:lang w:val="en-US"/>
        </w:rPr>
        <w:t>pre- and post-campaign</w:t>
      </w:r>
      <w:r w:rsidR="002571F9" w:rsidRPr="00CA4742">
        <w:rPr>
          <w:rFonts w:ascii="Times New Roman" w:hAnsi="Times New Roman" w:cs="Times New Roman"/>
          <w:lang w:val="en-US"/>
        </w:rPr>
        <w:t xml:space="preserve">. Respondents were </w:t>
      </w:r>
      <w:r w:rsidR="003C1B8D" w:rsidRPr="00CA4742">
        <w:rPr>
          <w:rFonts w:ascii="Times New Roman" w:hAnsi="Times New Roman" w:cs="Times New Roman"/>
          <w:lang w:val="en-US"/>
        </w:rPr>
        <w:t>a</w:t>
      </w:r>
      <w:r w:rsidR="002571F9" w:rsidRPr="00CA4742">
        <w:rPr>
          <w:rFonts w:ascii="Times New Roman" w:hAnsi="Times New Roman" w:cs="Times New Roman"/>
          <w:lang w:val="en-US"/>
        </w:rPr>
        <w:t xml:space="preserve">ble to select one issue as </w:t>
      </w:r>
      <w:r w:rsidR="003C1B8D" w:rsidRPr="00CA4742">
        <w:rPr>
          <w:rFonts w:ascii="Times New Roman" w:hAnsi="Times New Roman" w:cs="Times New Roman"/>
          <w:lang w:val="en-US"/>
        </w:rPr>
        <w:t>the “</w:t>
      </w:r>
      <w:r w:rsidR="002571F9" w:rsidRPr="00CA4742">
        <w:rPr>
          <w:rFonts w:ascii="Times New Roman" w:hAnsi="Times New Roman" w:cs="Times New Roman"/>
          <w:lang w:val="en-US"/>
        </w:rPr>
        <w:t>most important</w:t>
      </w:r>
      <w:r w:rsidR="003C1B8D" w:rsidRPr="00CA4742">
        <w:rPr>
          <w:rFonts w:ascii="Times New Roman" w:hAnsi="Times New Roman" w:cs="Times New Roman"/>
          <w:lang w:val="en-US"/>
        </w:rPr>
        <w:t>” issue “facing Denmark today”</w:t>
      </w:r>
      <w:r w:rsidR="002571F9" w:rsidRPr="00CA4742">
        <w:rPr>
          <w:rFonts w:ascii="Times New Roman" w:hAnsi="Times New Roman" w:cs="Times New Roman"/>
          <w:lang w:val="en-US"/>
        </w:rPr>
        <w:t xml:space="preserve"> from those listed</w:t>
      </w:r>
      <w:r w:rsidR="00FF522C" w:rsidRPr="00CA4742">
        <w:rPr>
          <w:rFonts w:ascii="Times New Roman" w:hAnsi="Times New Roman" w:cs="Times New Roman"/>
          <w:lang w:val="en-US"/>
        </w:rPr>
        <w:t xml:space="preserve"> in Figure 5</w:t>
      </w:r>
      <w:r w:rsidR="002571F9" w:rsidRPr="00CA4742">
        <w:rPr>
          <w:rFonts w:ascii="Times New Roman" w:hAnsi="Times New Roman" w:cs="Times New Roman"/>
          <w:lang w:val="en-US"/>
        </w:rPr>
        <w:t xml:space="preserve">. </w:t>
      </w:r>
      <w:r w:rsidR="00182726">
        <w:rPr>
          <w:rFonts w:ascii="Times New Roman" w:hAnsi="Times New Roman" w:cs="Times New Roman"/>
          <w:lang w:val="en-US"/>
        </w:rPr>
        <w:t>Notably</w:t>
      </w:r>
      <w:r w:rsidR="002571F9" w:rsidRPr="00CA4742">
        <w:rPr>
          <w:rFonts w:ascii="Times New Roman" w:hAnsi="Times New Roman" w:cs="Times New Roman"/>
          <w:lang w:val="en-US"/>
        </w:rPr>
        <w:t xml:space="preserve">, both before </w:t>
      </w:r>
      <w:r w:rsidR="001F58D8" w:rsidRPr="00CA4742">
        <w:rPr>
          <w:rFonts w:ascii="Times New Roman" w:hAnsi="Times New Roman" w:cs="Times New Roman"/>
          <w:lang w:val="en-US"/>
        </w:rPr>
        <w:t>and after the campaign</w:t>
      </w:r>
      <w:r w:rsidR="002571F9" w:rsidRPr="00CA4742">
        <w:rPr>
          <w:rFonts w:ascii="Times New Roman" w:hAnsi="Times New Roman" w:cs="Times New Roman"/>
          <w:lang w:val="en-US"/>
        </w:rPr>
        <w:t xml:space="preserve">, no more than 3% of respondents selected either European integration or the Euro as most important, and the percentage of </w:t>
      </w:r>
      <w:r w:rsidR="001F58D8" w:rsidRPr="00CA4742">
        <w:rPr>
          <w:rFonts w:ascii="Times New Roman" w:hAnsi="Times New Roman" w:cs="Times New Roman"/>
          <w:lang w:val="en-US"/>
        </w:rPr>
        <w:t>those</w:t>
      </w:r>
      <w:r w:rsidR="002571F9" w:rsidRPr="00CA4742">
        <w:rPr>
          <w:rFonts w:ascii="Times New Roman" w:hAnsi="Times New Roman" w:cs="Times New Roman"/>
          <w:lang w:val="en-US"/>
        </w:rPr>
        <w:t xml:space="preserve"> selecting this category</w:t>
      </w:r>
      <w:r w:rsidR="00675BCC" w:rsidRPr="00CA4742">
        <w:rPr>
          <w:rFonts w:ascii="Times New Roman" w:hAnsi="Times New Roman" w:cs="Times New Roman"/>
          <w:lang w:val="en-US"/>
        </w:rPr>
        <w:t xml:space="preserve"> </w:t>
      </w:r>
      <w:r w:rsidR="00182726">
        <w:rPr>
          <w:rFonts w:ascii="Times New Roman" w:hAnsi="Times New Roman" w:cs="Times New Roman"/>
          <w:lang w:val="en-US"/>
        </w:rPr>
        <w:t>increased only slightly</w:t>
      </w:r>
      <w:r w:rsidR="002571F9" w:rsidRPr="00CA4742">
        <w:rPr>
          <w:rFonts w:ascii="Times New Roman" w:hAnsi="Times New Roman" w:cs="Times New Roman"/>
          <w:lang w:val="en-US"/>
        </w:rPr>
        <w:t xml:space="preserve"> from the pre- to post-election period</w:t>
      </w:r>
      <w:r w:rsidR="00675BCC" w:rsidRPr="00CA4742">
        <w:rPr>
          <w:rFonts w:ascii="Times New Roman" w:hAnsi="Times New Roman" w:cs="Times New Roman"/>
          <w:lang w:val="en-US"/>
        </w:rPr>
        <w:t xml:space="preserve"> (</w:t>
      </w:r>
      <w:r w:rsidR="00182726" w:rsidRPr="00182726">
        <w:rPr>
          <w:rFonts w:ascii="Times New Roman" w:hAnsi="Times New Roman" w:cs="Times New Roman"/>
          <w:lang w:val="en-US"/>
        </w:rPr>
        <w:t xml:space="preserve">2% </w:t>
      </w:r>
      <w:r w:rsidR="00182726">
        <w:rPr>
          <w:rFonts w:ascii="Times New Roman" w:hAnsi="Times New Roman" w:cs="Times New Roman"/>
          <w:lang w:val="en-US"/>
        </w:rPr>
        <w:t xml:space="preserve">to </w:t>
      </w:r>
      <w:r w:rsidR="00182726" w:rsidRPr="00182726">
        <w:rPr>
          <w:rFonts w:ascii="Times New Roman" w:hAnsi="Times New Roman" w:cs="Times New Roman"/>
          <w:lang w:val="en-US"/>
        </w:rPr>
        <w:t>2.1%</w:t>
      </w:r>
      <w:r w:rsidR="00675BCC" w:rsidRPr="00CA4742">
        <w:rPr>
          <w:rFonts w:ascii="Times New Roman" w:hAnsi="Times New Roman" w:cs="Times New Roman"/>
          <w:lang w:val="en-US"/>
        </w:rPr>
        <w:t>)</w:t>
      </w:r>
      <w:r w:rsidR="002571F9" w:rsidRPr="00CA4742">
        <w:rPr>
          <w:rFonts w:ascii="Times New Roman" w:hAnsi="Times New Roman" w:cs="Times New Roman"/>
          <w:lang w:val="en-US"/>
        </w:rPr>
        <w:t xml:space="preserve">. </w:t>
      </w:r>
      <w:r w:rsidR="00D7212C">
        <w:rPr>
          <w:rFonts w:ascii="Times New Roman" w:hAnsi="Times New Roman" w:cs="Times New Roman"/>
          <w:lang w:val="en-US"/>
        </w:rPr>
        <w:t>That both of these issues failed to ‘bite’ for Danish voters</w:t>
      </w:r>
      <w:r w:rsidR="007564F4">
        <w:rPr>
          <w:rFonts w:ascii="Times New Roman" w:hAnsi="Times New Roman" w:cs="Times New Roman"/>
          <w:lang w:val="en-US"/>
        </w:rPr>
        <w:t xml:space="preserve"> – </w:t>
      </w:r>
      <w:r w:rsidR="00D7212C">
        <w:rPr>
          <w:rFonts w:ascii="Times New Roman" w:hAnsi="Times New Roman" w:cs="Times New Roman"/>
          <w:lang w:val="en-US"/>
        </w:rPr>
        <w:t>despite an EP election campaign</w:t>
      </w:r>
      <w:r w:rsidR="007564F4">
        <w:rPr>
          <w:rFonts w:ascii="Times New Roman" w:hAnsi="Times New Roman" w:cs="Times New Roman"/>
          <w:lang w:val="en-US"/>
        </w:rPr>
        <w:t xml:space="preserve"> –</w:t>
      </w:r>
      <w:r w:rsidR="00D7212C">
        <w:rPr>
          <w:rFonts w:ascii="Times New Roman" w:hAnsi="Times New Roman" w:cs="Times New Roman"/>
          <w:lang w:val="en-US"/>
        </w:rPr>
        <w:t xml:space="preserve"> reflects </w:t>
      </w:r>
      <w:r w:rsidR="00D7212C" w:rsidRPr="00CA4742">
        <w:rPr>
          <w:rFonts w:ascii="Times New Roman" w:hAnsi="Times New Roman" w:cs="Times New Roman"/>
          <w:lang w:val="en-US"/>
        </w:rPr>
        <w:t>a general absence of political attention among Danish parties to genuine EU issue</w:t>
      </w:r>
      <w:r w:rsidR="00D7212C">
        <w:rPr>
          <w:rFonts w:ascii="Times New Roman" w:hAnsi="Times New Roman" w:cs="Times New Roman"/>
          <w:lang w:val="en-US"/>
        </w:rPr>
        <w:t>s</w:t>
      </w:r>
      <w:r w:rsidR="00D7212C" w:rsidRPr="00CA4742">
        <w:rPr>
          <w:rFonts w:ascii="Times New Roman" w:hAnsi="Times New Roman" w:cs="Times New Roman"/>
          <w:lang w:val="en-US"/>
        </w:rPr>
        <w:t xml:space="preserve"> (Green-Pedersen 2012).</w:t>
      </w:r>
      <w:r w:rsidR="00D7212C">
        <w:rPr>
          <w:rFonts w:ascii="Times New Roman" w:hAnsi="Times New Roman" w:cs="Times New Roman"/>
          <w:lang w:val="en-US"/>
        </w:rPr>
        <w:t xml:space="preserve"> </w:t>
      </w:r>
      <w:r w:rsidR="00960A69">
        <w:rPr>
          <w:rFonts w:ascii="Times New Roman" w:hAnsi="Times New Roman" w:cs="Times New Roman"/>
          <w:lang w:val="en-US"/>
        </w:rPr>
        <w:t xml:space="preserve">Concerning the two issues that were clearly most frequently </w:t>
      </w:r>
      <w:r w:rsidR="00675BCC" w:rsidRPr="00CA4742">
        <w:rPr>
          <w:rFonts w:ascii="Times New Roman" w:hAnsi="Times New Roman" w:cs="Times New Roman"/>
          <w:lang w:val="en-US"/>
        </w:rPr>
        <w:t xml:space="preserve">selected as most </w:t>
      </w:r>
      <w:r w:rsidR="00960A69">
        <w:rPr>
          <w:rFonts w:ascii="Times New Roman" w:hAnsi="Times New Roman" w:cs="Times New Roman"/>
          <w:lang w:val="en-US"/>
        </w:rPr>
        <w:t xml:space="preserve">important </w:t>
      </w:r>
      <w:r w:rsidR="00675BCC" w:rsidRPr="00CA4742">
        <w:rPr>
          <w:rFonts w:ascii="Times New Roman" w:hAnsi="Times New Roman" w:cs="Times New Roman"/>
          <w:lang w:val="en-US"/>
        </w:rPr>
        <w:t>by respondents both before and after the campaign</w:t>
      </w:r>
      <w:r w:rsidR="00CD40FD">
        <w:rPr>
          <w:rFonts w:ascii="Times New Roman" w:hAnsi="Times New Roman" w:cs="Times New Roman"/>
          <w:lang w:val="en-US"/>
        </w:rPr>
        <w:t xml:space="preserve"> –</w:t>
      </w:r>
      <w:r w:rsidR="00675BCC" w:rsidRPr="00CA4742">
        <w:rPr>
          <w:rFonts w:ascii="Times New Roman" w:hAnsi="Times New Roman" w:cs="Times New Roman"/>
          <w:lang w:val="en-US"/>
        </w:rPr>
        <w:t xml:space="preserve"> </w:t>
      </w:r>
      <w:r w:rsidR="001F58D8" w:rsidRPr="00CA4742">
        <w:rPr>
          <w:rFonts w:ascii="Times New Roman" w:hAnsi="Times New Roman" w:cs="Times New Roman"/>
          <w:lang w:val="en-US"/>
        </w:rPr>
        <w:t>environment/climate change and i</w:t>
      </w:r>
      <w:r w:rsidR="00675BCC" w:rsidRPr="00CA4742">
        <w:rPr>
          <w:rFonts w:ascii="Times New Roman" w:hAnsi="Times New Roman" w:cs="Times New Roman"/>
          <w:lang w:val="en-US"/>
        </w:rPr>
        <w:t>mmigration/asylum rules</w:t>
      </w:r>
      <w:r w:rsidR="00CD40FD">
        <w:rPr>
          <w:rFonts w:ascii="Times New Roman" w:hAnsi="Times New Roman" w:cs="Times New Roman"/>
          <w:lang w:val="en-US"/>
        </w:rPr>
        <w:t xml:space="preserve"> –</w:t>
      </w:r>
      <w:r w:rsidR="00675BCC" w:rsidRPr="00CA4742">
        <w:rPr>
          <w:rFonts w:ascii="Times New Roman" w:hAnsi="Times New Roman" w:cs="Times New Roman"/>
          <w:lang w:val="en-US"/>
        </w:rPr>
        <w:t xml:space="preserve"> it is difficult to assess whether this represents voter engagement with the European election campaign specifically. On the one hand, both issues are clearly transnational in scope, and thus arguably European issues, despite strong national competence</w:t>
      </w:r>
      <w:r w:rsidR="00874514" w:rsidRPr="00CA4742">
        <w:rPr>
          <w:rFonts w:ascii="Times New Roman" w:hAnsi="Times New Roman" w:cs="Times New Roman"/>
          <w:lang w:val="en-US"/>
        </w:rPr>
        <w:t>s</w:t>
      </w:r>
      <w:r w:rsidR="00675BCC" w:rsidRPr="00CA4742">
        <w:rPr>
          <w:rFonts w:ascii="Times New Roman" w:hAnsi="Times New Roman" w:cs="Times New Roman"/>
          <w:lang w:val="en-US"/>
        </w:rPr>
        <w:t xml:space="preserve"> in </w:t>
      </w:r>
      <w:r w:rsidR="00874514" w:rsidRPr="00CA4742">
        <w:rPr>
          <w:rFonts w:ascii="Times New Roman" w:hAnsi="Times New Roman" w:cs="Times New Roman"/>
          <w:lang w:val="en-US"/>
        </w:rPr>
        <w:t>both policy areas</w:t>
      </w:r>
      <w:r w:rsidR="00675BCC" w:rsidRPr="00CA4742">
        <w:rPr>
          <w:rFonts w:ascii="Times New Roman" w:hAnsi="Times New Roman" w:cs="Times New Roman"/>
          <w:lang w:val="en-US"/>
        </w:rPr>
        <w:t>. On the other</w:t>
      </w:r>
      <w:r w:rsidR="00CD40FD">
        <w:rPr>
          <w:rFonts w:ascii="Times New Roman" w:hAnsi="Times New Roman" w:cs="Times New Roman"/>
          <w:lang w:val="en-US"/>
        </w:rPr>
        <w:t xml:space="preserve"> hand</w:t>
      </w:r>
      <w:r w:rsidR="00675BCC" w:rsidRPr="00CA4742">
        <w:rPr>
          <w:rFonts w:ascii="Times New Roman" w:hAnsi="Times New Roman" w:cs="Times New Roman"/>
          <w:lang w:val="en-US"/>
        </w:rPr>
        <w:t xml:space="preserve">, </w:t>
      </w:r>
      <w:r w:rsidR="00CD40FD">
        <w:rPr>
          <w:rFonts w:ascii="Times New Roman" w:hAnsi="Times New Roman" w:cs="Times New Roman"/>
          <w:lang w:val="en-US"/>
        </w:rPr>
        <w:t>both</w:t>
      </w:r>
      <w:r w:rsidR="00CD40FD" w:rsidRPr="00CA4742">
        <w:rPr>
          <w:rFonts w:ascii="Times New Roman" w:hAnsi="Times New Roman" w:cs="Times New Roman"/>
          <w:lang w:val="en-US"/>
        </w:rPr>
        <w:t xml:space="preserve"> </w:t>
      </w:r>
      <w:r w:rsidR="00675BCC" w:rsidRPr="00CA4742">
        <w:rPr>
          <w:rFonts w:ascii="Times New Roman" w:hAnsi="Times New Roman" w:cs="Times New Roman"/>
          <w:lang w:val="en-US"/>
        </w:rPr>
        <w:t xml:space="preserve">were themes of the national election campaign, and it is thus difficult to distinguish whether the importance of these </w:t>
      </w:r>
      <w:r w:rsidR="00F109DB">
        <w:rPr>
          <w:rFonts w:ascii="Times New Roman" w:hAnsi="Times New Roman" w:cs="Times New Roman"/>
          <w:lang w:val="en-US"/>
        </w:rPr>
        <w:t xml:space="preserve">to voters </w:t>
      </w:r>
      <w:r w:rsidR="00675BCC" w:rsidRPr="00CA4742">
        <w:rPr>
          <w:rFonts w:ascii="Times New Roman" w:hAnsi="Times New Roman" w:cs="Times New Roman"/>
          <w:lang w:val="en-US"/>
        </w:rPr>
        <w:t>represent</w:t>
      </w:r>
      <w:r w:rsidR="00F109DB">
        <w:rPr>
          <w:rFonts w:ascii="Times New Roman" w:hAnsi="Times New Roman" w:cs="Times New Roman"/>
          <w:lang w:val="en-US"/>
        </w:rPr>
        <w:t>s</w:t>
      </w:r>
      <w:r w:rsidR="00675BCC" w:rsidRPr="00CA4742">
        <w:rPr>
          <w:rFonts w:ascii="Times New Roman" w:hAnsi="Times New Roman" w:cs="Times New Roman"/>
          <w:lang w:val="en-US"/>
        </w:rPr>
        <w:t xml:space="preserve"> engagement </w:t>
      </w:r>
      <w:r w:rsidR="00912959">
        <w:rPr>
          <w:rFonts w:ascii="Times New Roman" w:hAnsi="Times New Roman" w:cs="Times New Roman"/>
          <w:lang w:val="en-US"/>
        </w:rPr>
        <w:t xml:space="preserve">with </w:t>
      </w:r>
      <w:r w:rsidR="00960A69">
        <w:rPr>
          <w:rFonts w:ascii="Times New Roman" w:hAnsi="Times New Roman" w:cs="Times New Roman"/>
          <w:lang w:val="en-US"/>
        </w:rPr>
        <w:t>issues pertaining to the national or European level, or both to some degree.</w:t>
      </w:r>
      <w:r w:rsidR="00F109DB">
        <w:rPr>
          <w:rFonts w:ascii="Times New Roman" w:hAnsi="Times New Roman" w:cs="Times New Roman"/>
          <w:lang w:val="en-US"/>
        </w:rPr>
        <w:t xml:space="preserve"> </w:t>
      </w:r>
    </w:p>
    <w:p w14:paraId="0363F0BF" w14:textId="77777777" w:rsidR="0053081B" w:rsidRPr="00CA4742" w:rsidRDefault="0053081B" w:rsidP="00675BCC">
      <w:pPr>
        <w:spacing w:line="360" w:lineRule="auto"/>
        <w:ind w:firstLine="708"/>
        <w:jc w:val="both"/>
        <w:rPr>
          <w:rFonts w:ascii="Times New Roman" w:hAnsi="Times New Roman" w:cs="Times New Roman"/>
          <w:b/>
          <w:lang w:val="en-US"/>
        </w:rPr>
      </w:pPr>
    </w:p>
    <w:p w14:paraId="0262132C" w14:textId="74A936BA" w:rsidR="00C42CCC" w:rsidRPr="00CA4742" w:rsidRDefault="00FF522C" w:rsidP="00C42CCC">
      <w:pPr>
        <w:spacing w:line="360" w:lineRule="auto"/>
        <w:jc w:val="both"/>
        <w:rPr>
          <w:rFonts w:ascii="Times New Roman" w:hAnsi="Times New Roman" w:cs="Times New Roman"/>
          <w:lang w:val="en-US"/>
        </w:rPr>
      </w:pPr>
      <w:r w:rsidRPr="00CA4742">
        <w:rPr>
          <w:rFonts w:ascii="Times New Roman" w:hAnsi="Times New Roman" w:cs="Times New Roman"/>
          <w:b/>
          <w:lang w:val="en-US"/>
        </w:rPr>
        <w:t>Figure 5</w:t>
      </w:r>
      <w:r w:rsidR="00C42CCC" w:rsidRPr="00CA4742">
        <w:rPr>
          <w:rFonts w:ascii="Times New Roman" w:hAnsi="Times New Roman" w:cs="Times New Roman"/>
          <w:lang w:val="en-US"/>
        </w:rPr>
        <w:t>: Most important issue faci</w:t>
      </w:r>
      <w:r w:rsidR="00E5225D" w:rsidRPr="00CA4742">
        <w:rPr>
          <w:rFonts w:ascii="Times New Roman" w:hAnsi="Times New Roman" w:cs="Times New Roman"/>
          <w:lang w:val="en-US"/>
        </w:rPr>
        <w:t>ng Denmark</w:t>
      </w:r>
      <w:r w:rsidR="00C42CCC" w:rsidRPr="00CA4742">
        <w:rPr>
          <w:rFonts w:ascii="Times New Roman" w:hAnsi="Times New Roman" w:cs="Times New Roman"/>
          <w:lang w:val="en-US"/>
        </w:rPr>
        <w:t>, pre- and post-EP election</w:t>
      </w:r>
    </w:p>
    <w:p w14:paraId="67629959" w14:textId="057E9954" w:rsidR="00BF3326" w:rsidRPr="00CD40FD" w:rsidRDefault="00BF3326" w:rsidP="00BF3326">
      <w:pPr>
        <w:keepNext/>
        <w:keepLines/>
        <w:spacing w:line="276" w:lineRule="auto"/>
        <w:rPr>
          <w:rFonts w:ascii="Times New Roman" w:hAnsi="Times New Roman" w:cs="Times New Roman"/>
          <w:color w:val="000000" w:themeColor="text1"/>
          <w:lang w:val="en-US"/>
        </w:rPr>
      </w:pPr>
    </w:p>
    <w:p w14:paraId="1560E4C9" w14:textId="67730E7C" w:rsidR="00BF3326" w:rsidRPr="00CD40FD" w:rsidRDefault="00825CEC" w:rsidP="00E4387E">
      <w:pPr>
        <w:keepNext/>
        <w:keepLines/>
        <w:spacing w:line="276" w:lineRule="auto"/>
        <w:jc w:val="center"/>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pict w14:anchorId="793F6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330.75pt">
            <v:imagedata r:id="rId12" o:title="weighted_Denmark_MII_rec"/>
          </v:shape>
        </w:pict>
      </w:r>
    </w:p>
    <w:p w14:paraId="5A2D5CA5" w14:textId="5E005EC3" w:rsidR="005419DA" w:rsidRPr="00F109DB" w:rsidRDefault="005419DA" w:rsidP="005419DA">
      <w:pPr>
        <w:spacing w:line="360" w:lineRule="auto"/>
        <w:jc w:val="both"/>
        <w:rPr>
          <w:rFonts w:ascii="Times New Roman" w:hAnsi="Times New Roman" w:cs="Times New Roman"/>
          <w:lang w:val="en-US"/>
        </w:rPr>
      </w:pPr>
      <w:r w:rsidRPr="00F109DB">
        <w:rPr>
          <w:rFonts w:ascii="Times New Roman" w:hAnsi="Times New Roman" w:cs="Times New Roman"/>
          <w:b/>
          <w:lang w:val="en-US"/>
        </w:rPr>
        <w:t>Source</w:t>
      </w:r>
      <w:r w:rsidRPr="00F109DB">
        <w:rPr>
          <w:rFonts w:ascii="Times New Roman" w:hAnsi="Times New Roman" w:cs="Times New Roman"/>
          <w:lang w:val="en-US"/>
        </w:rPr>
        <w:t>:</w:t>
      </w:r>
      <w:r w:rsidRPr="00F109DB">
        <w:rPr>
          <w:rFonts w:ascii="Times New Roman" w:hAnsi="Times New Roman" w:cs="Times New Roman"/>
          <w:b/>
          <w:lang w:val="en-US"/>
        </w:rPr>
        <w:t xml:space="preserve"> </w:t>
      </w:r>
      <w:r w:rsidRPr="00F109DB">
        <w:rPr>
          <w:rFonts w:ascii="Times New Roman" w:hAnsi="Times New Roman" w:cs="Times New Roman"/>
          <w:lang w:val="en-US"/>
        </w:rPr>
        <w:t>RECONNECT 2019 European election survey data. Fieldwork period: Pre-election wave, April 2-April 19 2019; Post-election</w:t>
      </w:r>
      <w:r w:rsidR="009D7958" w:rsidRPr="00F109DB">
        <w:rPr>
          <w:rFonts w:ascii="Times New Roman" w:hAnsi="Times New Roman" w:cs="Times New Roman"/>
          <w:lang w:val="en-US"/>
        </w:rPr>
        <w:t xml:space="preserve"> wave</w:t>
      </w:r>
      <w:r w:rsidRPr="00F109DB">
        <w:rPr>
          <w:rFonts w:ascii="Times New Roman" w:hAnsi="Times New Roman" w:cs="Times New Roman"/>
          <w:lang w:val="en-US"/>
        </w:rPr>
        <w:t>, May 27-June 24 2019.</w:t>
      </w:r>
    </w:p>
    <w:p w14:paraId="4FD27E22" w14:textId="5B3A9847" w:rsidR="00E4387E" w:rsidRPr="00F109DB" w:rsidRDefault="00E4387E" w:rsidP="00C42CCC">
      <w:pPr>
        <w:spacing w:line="360" w:lineRule="auto"/>
        <w:jc w:val="both"/>
        <w:rPr>
          <w:rFonts w:ascii="Times New Roman" w:hAnsi="Times New Roman" w:cs="Times New Roman"/>
          <w:lang w:val="en-US"/>
        </w:rPr>
      </w:pPr>
    </w:p>
    <w:p w14:paraId="669DFDDF" w14:textId="5A85C6A1" w:rsidR="00874514" w:rsidRPr="00F109DB" w:rsidRDefault="00874514" w:rsidP="00874514">
      <w:pPr>
        <w:spacing w:line="360" w:lineRule="auto"/>
        <w:ind w:firstLine="708"/>
        <w:jc w:val="both"/>
        <w:rPr>
          <w:rFonts w:ascii="Times New Roman" w:hAnsi="Times New Roman" w:cs="Times New Roman"/>
          <w:lang w:val="en-US"/>
        </w:rPr>
      </w:pPr>
      <w:r w:rsidRPr="00F109DB">
        <w:rPr>
          <w:rFonts w:ascii="Times New Roman" w:hAnsi="Times New Roman" w:cs="Times New Roman"/>
          <w:lang w:val="en-US"/>
        </w:rPr>
        <w:t>To help shed further light on the extent to which Europe was salient to voters during the EP election campaign</w:t>
      </w:r>
      <w:r w:rsidR="00FF522C" w:rsidRPr="00F109DB">
        <w:rPr>
          <w:rFonts w:ascii="Times New Roman" w:hAnsi="Times New Roman" w:cs="Times New Roman"/>
          <w:lang w:val="en-US"/>
        </w:rPr>
        <w:t>, Figure 6</w:t>
      </w:r>
      <w:r w:rsidR="00E5225D" w:rsidRPr="00F109DB">
        <w:rPr>
          <w:rFonts w:ascii="Times New Roman" w:hAnsi="Times New Roman" w:cs="Times New Roman"/>
          <w:lang w:val="en-US"/>
        </w:rPr>
        <w:t xml:space="preserve"> </w:t>
      </w:r>
      <w:r w:rsidRPr="00F109DB">
        <w:rPr>
          <w:rFonts w:ascii="Times New Roman" w:hAnsi="Times New Roman" w:cs="Times New Roman"/>
          <w:lang w:val="en-US"/>
        </w:rPr>
        <w:t>reports on data collected as part of the RECONNECT citizen-level survey concerning political discussion. Concretely, respondents were asked “Which issue among the following did you discuss in the past month?</w:t>
      </w:r>
      <w:proofErr w:type="gramStart"/>
      <w:r w:rsidRPr="00F109DB">
        <w:rPr>
          <w:rFonts w:ascii="Times New Roman" w:hAnsi="Times New Roman" w:cs="Times New Roman"/>
          <w:lang w:val="en-US"/>
        </w:rPr>
        <w:t>”,</w:t>
      </w:r>
      <w:proofErr w:type="gramEnd"/>
      <w:r w:rsidRPr="00F109DB">
        <w:rPr>
          <w:rFonts w:ascii="Times New Roman" w:hAnsi="Times New Roman" w:cs="Times New Roman"/>
          <w:lang w:val="en-US"/>
        </w:rPr>
        <w:t xml:space="preserve"> with respondents able to select one of the European issues from those listed in </w:t>
      </w:r>
      <w:r w:rsidR="00FF522C" w:rsidRPr="00F109DB">
        <w:rPr>
          <w:rFonts w:ascii="Times New Roman" w:hAnsi="Times New Roman" w:cs="Times New Roman"/>
          <w:lang w:val="en-US"/>
        </w:rPr>
        <w:t>Figure 6</w:t>
      </w:r>
      <w:r w:rsidRPr="00F109DB">
        <w:rPr>
          <w:rFonts w:ascii="Times New Roman" w:hAnsi="Times New Roman" w:cs="Times New Roman"/>
          <w:lang w:val="en-US"/>
        </w:rPr>
        <w:t xml:space="preserve">, or specify an alternative issue in text. Unlike </w:t>
      </w:r>
      <w:r w:rsidR="003C1B8D" w:rsidRPr="00F109DB">
        <w:rPr>
          <w:rFonts w:ascii="Times New Roman" w:hAnsi="Times New Roman" w:cs="Times New Roman"/>
          <w:lang w:val="en-US"/>
        </w:rPr>
        <w:t>the most important issue question</w:t>
      </w:r>
      <w:r w:rsidRPr="00F109DB">
        <w:rPr>
          <w:rFonts w:ascii="Times New Roman" w:hAnsi="Times New Roman" w:cs="Times New Roman"/>
          <w:lang w:val="en-US"/>
        </w:rPr>
        <w:t>, this question prompted respondents to report upon European themes specifically in</w:t>
      </w:r>
      <w:r w:rsidR="003C1B8D" w:rsidRPr="00F109DB">
        <w:rPr>
          <w:rFonts w:ascii="Times New Roman" w:hAnsi="Times New Roman" w:cs="Times New Roman"/>
          <w:lang w:val="en-US"/>
        </w:rPr>
        <w:t xml:space="preserve"> their</w:t>
      </w:r>
      <w:r w:rsidRPr="00F109DB">
        <w:rPr>
          <w:rFonts w:ascii="Times New Roman" w:hAnsi="Times New Roman" w:cs="Times New Roman"/>
          <w:lang w:val="en-US"/>
        </w:rPr>
        <w:t xml:space="preserve"> political discussion, and thus isolates this from the more generic issues</w:t>
      </w:r>
      <w:r w:rsidR="00FF522C" w:rsidRPr="00F109DB">
        <w:rPr>
          <w:rFonts w:ascii="Times New Roman" w:hAnsi="Times New Roman" w:cs="Times New Roman"/>
          <w:lang w:val="en-US"/>
        </w:rPr>
        <w:t xml:space="preserve"> reported upon in Figure 5</w:t>
      </w:r>
      <w:r w:rsidRPr="00F109DB">
        <w:rPr>
          <w:rFonts w:ascii="Times New Roman" w:hAnsi="Times New Roman" w:cs="Times New Roman"/>
          <w:lang w:val="en-US"/>
        </w:rPr>
        <w:t>.</w:t>
      </w:r>
    </w:p>
    <w:p w14:paraId="393EC5CD" w14:textId="4E1C906C" w:rsidR="0088588B" w:rsidRPr="00F109DB" w:rsidRDefault="003C1B8D" w:rsidP="00874514">
      <w:pPr>
        <w:spacing w:line="360" w:lineRule="auto"/>
        <w:ind w:firstLine="708"/>
        <w:jc w:val="both"/>
        <w:rPr>
          <w:rFonts w:ascii="Times New Roman" w:hAnsi="Times New Roman" w:cs="Times New Roman"/>
          <w:lang w:val="en-US"/>
        </w:rPr>
      </w:pPr>
      <w:r w:rsidRPr="00F109DB">
        <w:rPr>
          <w:rFonts w:ascii="Times New Roman" w:hAnsi="Times New Roman" w:cs="Times New Roman"/>
          <w:lang w:val="en-US"/>
        </w:rPr>
        <w:t xml:space="preserve">Perhaps most tellingly, “Did not discuss EU politics” was the most commonly selected response option, both before </w:t>
      </w:r>
      <w:r w:rsidRPr="00F109DB">
        <w:rPr>
          <w:rFonts w:ascii="Times New Roman" w:hAnsi="Times New Roman" w:cs="Times New Roman"/>
          <w:i/>
          <w:lang w:val="en-US"/>
        </w:rPr>
        <w:t>and</w:t>
      </w:r>
      <w:r w:rsidRPr="00F109DB">
        <w:rPr>
          <w:rFonts w:ascii="Times New Roman" w:hAnsi="Times New Roman" w:cs="Times New Roman"/>
          <w:lang w:val="en-US"/>
        </w:rPr>
        <w:t xml:space="preserve"> after the campaign had taken place (</w:t>
      </w:r>
      <w:r w:rsidR="00960224">
        <w:rPr>
          <w:rFonts w:ascii="Times New Roman" w:hAnsi="Times New Roman" w:cs="Times New Roman"/>
          <w:lang w:val="en-US"/>
        </w:rPr>
        <w:t>53% and 40</w:t>
      </w:r>
      <w:r w:rsidRPr="00F109DB">
        <w:rPr>
          <w:rFonts w:ascii="Times New Roman" w:hAnsi="Times New Roman" w:cs="Times New Roman"/>
          <w:lang w:val="en-US"/>
        </w:rPr>
        <w:t>% of respondents, respectively). This response option indicates not even minor discussion of European issues</w:t>
      </w:r>
      <w:r w:rsidR="00960224">
        <w:rPr>
          <w:rFonts w:ascii="Times New Roman" w:hAnsi="Times New Roman" w:cs="Times New Roman"/>
          <w:lang w:val="en-US"/>
        </w:rPr>
        <w:t xml:space="preserve"> amongst 40% of respondents</w:t>
      </w:r>
      <w:r w:rsidRPr="00F109DB">
        <w:rPr>
          <w:rFonts w:ascii="Times New Roman" w:hAnsi="Times New Roman" w:cs="Times New Roman"/>
          <w:lang w:val="en-US"/>
        </w:rPr>
        <w:t xml:space="preserve"> during the run-up to Election Day in the ca</w:t>
      </w:r>
      <w:r w:rsidR="00960224">
        <w:rPr>
          <w:rFonts w:ascii="Times New Roman" w:hAnsi="Times New Roman" w:cs="Times New Roman"/>
          <w:lang w:val="en-US"/>
        </w:rPr>
        <w:t>se of the post-election measure.</w:t>
      </w:r>
      <w:r w:rsidR="008E3C27" w:rsidRPr="00F109DB">
        <w:rPr>
          <w:rFonts w:ascii="Times New Roman" w:hAnsi="Times New Roman" w:cs="Times New Roman"/>
          <w:lang w:val="en-US"/>
        </w:rPr>
        <w:t xml:space="preserve"> Clearly, this level of disengagement with election issues falls well short of what would be expected in a first-order contest, though it is clear that the campaign did at least help to reduce the level of non-discussion of EU issues, with a 13 percentage point drop in respondents falling into this category by the end of the campaign. In terms of the topics </w:t>
      </w:r>
      <w:r w:rsidR="0088588B" w:rsidRPr="00F109DB">
        <w:rPr>
          <w:rFonts w:ascii="Times New Roman" w:hAnsi="Times New Roman" w:cs="Times New Roman"/>
          <w:lang w:val="en-US"/>
        </w:rPr>
        <w:t xml:space="preserve">discussed, it is notable that despite much elite level debate, only a very minor share of respondents ranked core EU issues relating to the competences of EU institutions, the single market and monetary union as most discussed. </w:t>
      </w:r>
      <w:r w:rsidR="00960224">
        <w:rPr>
          <w:rFonts w:ascii="Times New Roman" w:hAnsi="Times New Roman" w:cs="Times New Roman"/>
          <w:lang w:val="en-US"/>
        </w:rPr>
        <w:t>Notably</w:t>
      </w:r>
      <w:r w:rsidR="0088588B" w:rsidRPr="00F109DB">
        <w:rPr>
          <w:rFonts w:ascii="Times New Roman" w:hAnsi="Times New Roman" w:cs="Times New Roman"/>
          <w:lang w:val="en-US"/>
        </w:rPr>
        <w:t>, the most discussed substantive issue was Denmark’s membership of the European Union rather than any EU-level policy initiative or proposals for EU reform. Meanwhile, the campaign appears to have been most effective in promoting discussion of the election as an event, with a spike in the share of respondents naming “European elections 2019</w:t>
      </w:r>
      <w:r w:rsidR="00960224">
        <w:rPr>
          <w:rFonts w:ascii="Times New Roman" w:hAnsi="Times New Roman" w:cs="Times New Roman"/>
          <w:lang w:val="en-US"/>
        </w:rPr>
        <w:t>” as their most discussed topic, from 7% before the campaign to 21</w:t>
      </w:r>
      <w:r w:rsidR="0088588B" w:rsidRPr="00F109DB">
        <w:rPr>
          <w:rFonts w:ascii="Times New Roman" w:hAnsi="Times New Roman" w:cs="Times New Roman"/>
          <w:lang w:val="en-US"/>
        </w:rPr>
        <w:t>% afterwards.</w:t>
      </w:r>
      <w:r w:rsidR="0064239A" w:rsidRPr="00F109DB">
        <w:rPr>
          <w:rFonts w:ascii="Times New Roman" w:hAnsi="Times New Roman" w:cs="Times New Roman"/>
          <w:lang w:val="en-US"/>
        </w:rPr>
        <w:t xml:space="preserve"> These results suggest that while the EP election campaign was successful in promoting increased discussion of European topics – even though fighting for voters’ limited attention within the context of a national campaign as well – this did not lead to ‘deep’ voter engagement with the key policy issues, and rather seems to have been most effective in raising the salience of the election as an event. </w:t>
      </w:r>
    </w:p>
    <w:p w14:paraId="0289D814" w14:textId="28419F81" w:rsidR="00E5225D" w:rsidRPr="00F109DB" w:rsidRDefault="00E5225D" w:rsidP="00717B21">
      <w:pPr>
        <w:spacing w:line="360" w:lineRule="auto"/>
        <w:jc w:val="center"/>
        <w:rPr>
          <w:rFonts w:ascii="Times New Roman" w:hAnsi="Times New Roman" w:cs="Times New Roman"/>
          <w:lang w:val="en-US"/>
        </w:rPr>
      </w:pPr>
    </w:p>
    <w:p w14:paraId="42C00A09" w14:textId="65A7EE1D" w:rsidR="00E5225D" w:rsidRPr="00960224" w:rsidRDefault="00FF522C" w:rsidP="00E5225D">
      <w:pPr>
        <w:spacing w:line="360" w:lineRule="auto"/>
        <w:jc w:val="both"/>
        <w:rPr>
          <w:rFonts w:cstheme="minorHAnsi"/>
          <w:lang w:val="en-US"/>
        </w:rPr>
      </w:pPr>
      <w:r w:rsidRPr="00F109DB">
        <w:rPr>
          <w:rFonts w:ascii="Times New Roman" w:hAnsi="Times New Roman" w:cs="Times New Roman"/>
          <w:b/>
          <w:lang w:val="en-US"/>
        </w:rPr>
        <w:t>Figure 6</w:t>
      </w:r>
      <w:r w:rsidR="00E5225D" w:rsidRPr="00F109DB">
        <w:rPr>
          <w:rFonts w:ascii="Times New Roman" w:hAnsi="Times New Roman" w:cs="Times New Roman"/>
          <w:lang w:val="en-US"/>
        </w:rPr>
        <w:t>: Most discussed European issues, pre- and post-EP election</w:t>
      </w:r>
    </w:p>
    <w:p w14:paraId="1EFF44BA" w14:textId="7974B601" w:rsidR="004C73E6" w:rsidRPr="00960224" w:rsidRDefault="00912959" w:rsidP="00E4387E">
      <w:pPr>
        <w:spacing w:line="360" w:lineRule="auto"/>
        <w:jc w:val="center"/>
        <w:rPr>
          <w:rFonts w:ascii="Times New Roman" w:hAnsi="Times New Roman" w:cs="Times New Roman"/>
          <w:lang w:val="en-US"/>
        </w:rPr>
      </w:pPr>
      <w:r w:rsidRPr="00912959">
        <w:rPr>
          <w:rFonts w:ascii="Times New Roman" w:hAnsi="Times New Roman" w:cs="Times New Roman"/>
          <w:noProof/>
          <w:lang w:val="da-DK" w:eastAsia="da-DK"/>
        </w:rPr>
        <w:drawing>
          <wp:inline distT="0" distB="0" distL="0" distR="0" wp14:anchorId="152C25C5" wp14:editId="7CECE3DB">
            <wp:extent cx="5756910" cy="4185221"/>
            <wp:effectExtent l="0" t="0" r="0" b="6350"/>
            <wp:docPr id="10" name="Picture 10" descr="Y:\Kritzinger\RECONNECT\BOOK PROJECT\graphs\weighted\most_discussed_EU_issue\weigted_Denmark_M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Kritzinger\RECONNECT\BOOK PROJECT\graphs\weighted\most_discussed_EU_issue\weigted_Denmark_MD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4185221"/>
                    </a:xfrm>
                    <a:prstGeom prst="rect">
                      <a:avLst/>
                    </a:prstGeom>
                    <a:noFill/>
                    <a:ln>
                      <a:noFill/>
                    </a:ln>
                  </pic:spPr>
                </pic:pic>
              </a:graphicData>
            </a:graphic>
          </wp:inline>
        </w:drawing>
      </w:r>
    </w:p>
    <w:p w14:paraId="514B246B" w14:textId="29699513" w:rsidR="005419DA" w:rsidRPr="00960224" w:rsidRDefault="005419DA" w:rsidP="005419DA">
      <w:pPr>
        <w:spacing w:line="360" w:lineRule="auto"/>
        <w:jc w:val="both"/>
        <w:rPr>
          <w:rFonts w:ascii="Times New Roman" w:hAnsi="Times New Roman" w:cs="Times New Roman"/>
          <w:lang w:val="en-US"/>
        </w:rPr>
      </w:pPr>
      <w:r w:rsidRPr="00960224">
        <w:rPr>
          <w:rFonts w:ascii="Times New Roman" w:hAnsi="Times New Roman" w:cs="Times New Roman"/>
          <w:b/>
          <w:lang w:val="en-US"/>
        </w:rPr>
        <w:t>Source</w:t>
      </w:r>
      <w:r w:rsidRPr="00960224">
        <w:rPr>
          <w:rFonts w:ascii="Times New Roman" w:hAnsi="Times New Roman" w:cs="Times New Roman"/>
          <w:lang w:val="en-US"/>
        </w:rPr>
        <w:t>:</w:t>
      </w:r>
      <w:r w:rsidRPr="00960224">
        <w:rPr>
          <w:rFonts w:ascii="Times New Roman" w:hAnsi="Times New Roman" w:cs="Times New Roman"/>
          <w:b/>
          <w:lang w:val="en-US"/>
        </w:rPr>
        <w:t xml:space="preserve"> </w:t>
      </w:r>
      <w:r w:rsidRPr="00960224">
        <w:rPr>
          <w:rFonts w:ascii="Times New Roman" w:hAnsi="Times New Roman" w:cs="Times New Roman"/>
          <w:lang w:val="en-US"/>
        </w:rPr>
        <w:t>RECONNECT 2019 European election survey data. Fieldwork period: Pre-election wave, April 2-19 2019; Post-election</w:t>
      </w:r>
      <w:r w:rsidR="009D7958" w:rsidRPr="00960224">
        <w:rPr>
          <w:rFonts w:ascii="Times New Roman" w:hAnsi="Times New Roman" w:cs="Times New Roman"/>
          <w:lang w:val="en-US"/>
        </w:rPr>
        <w:t xml:space="preserve"> wave</w:t>
      </w:r>
      <w:r w:rsidRPr="00960224">
        <w:rPr>
          <w:rFonts w:ascii="Times New Roman" w:hAnsi="Times New Roman" w:cs="Times New Roman"/>
          <w:lang w:val="en-US"/>
        </w:rPr>
        <w:t>, May 27-June 24 2019.</w:t>
      </w:r>
    </w:p>
    <w:p w14:paraId="6D135A34" w14:textId="77777777" w:rsidR="00FE445D" w:rsidRPr="00960224" w:rsidRDefault="00FE445D" w:rsidP="00E52790">
      <w:pPr>
        <w:spacing w:line="360" w:lineRule="auto"/>
        <w:jc w:val="both"/>
        <w:rPr>
          <w:rFonts w:ascii="Times New Roman" w:hAnsi="Times New Roman" w:cs="Times New Roman"/>
          <w:lang w:val="en-US"/>
        </w:rPr>
      </w:pPr>
    </w:p>
    <w:p w14:paraId="33D9A257" w14:textId="5FFEB64F" w:rsidR="008A244D" w:rsidRDefault="0064239A" w:rsidP="00231590">
      <w:pPr>
        <w:spacing w:line="360" w:lineRule="auto"/>
        <w:ind w:firstLine="708"/>
        <w:jc w:val="both"/>
        <w:rPr>
          <w:rFonts w:ascii="Times New Roman" w:hAnsi="Times New Roman" w:cs="Times New Roman"/>
          <w:lang w:val="en-US"/>
        </w:rPr>
      </w:pPr>
      <w:r w:rsidRPr="00960224">
        <w:rPr>
          <w:rFonts w:ascii="Times New Roman" w:hAnsi="Times New Roman" w:cs="Times New Roman"/>
          <w:lang w:val="en-US"/>
        </w:rPr>
        <w:t xml:space="preserve">Though there is little evidence to suggest that the EP election campaign fostered deep engagement with key European issues, was it successful in </w:t>
      </w:r>
      <w:r w:rsidR="00EC1875">
        <w:rPr>
          <w:rFonts w:ascii="Times New Roman" w:hAnsi="Times New Roman" w:cs="Times New Roman"/>
          <w:lang w:val="en-US"/>
        </w:rPr>
        <w:t xml:space="preserve">helping to </w:t>
      </w:r>
      <w:proofErr w:type="spellStart"/>
      <w:r w:rsidR="000C43E0" w:rsidRPr="000C43E0">
        <w:rPr>
          <w:rFonts w:ascii="Times New Roman" w:hAnsi="Times New Roman" w:cs="Times New Roman"/>
          <w:lang w:val="en-US"/>
        </w:rPr>
        <w:t>crystallise</w:t>
      </w:r>
      <w:proofErr w:type="spellEnd"/>
      <w:r w:rsidRPr="00F53BB4">
        <w:rPr>
          <w:rFonts w:ascii="Times New Roman" w:hAnsi="Times New Roman" w:cs="Times New Roman"/>
          <w:lang w:val="en-US"/>
        </w:rPr>
        <w:t xml:space="preserve"> broad</w:t>
      </w:r>
      <w:r w:rsidR="00EC1875">
        <w:rPr>
          <w:rFonts w:ascii="Times New Roman" w:hAnsi="Times New Roman" w:cs="Times New Roman"/>
          <w:lang w:val="en-US"/>
        </w:rPr>
        <w:t xml:space="preserve"> differences in</w:t>
      </w:r>
      <w:r w:rsidRPr="00F53BB4">
        <w:rPr>
          <w:rFonts w:ascii="Times New Roman" w:hAnsi="Times New Roman" w:cs="Times New Roman"/>
          <w:lang w:val="en-US"/>
        </w:rPr>
        <w:t xml:space="preserve"> </w:t>
      </w:r>
      <w:r w:rsidR="000C43E0">
        <w:rPr>
          <w:rFonts w:ascii="Times New Roman" w:hAnsi="Times New Roman" w:cs="Times New Roman"/>
          <w:lang w:val="en-US"/>
        </w:rPr>
        <w:t>stances taken by Danish parties in relation to European integration</w:t>
      </w:r>
      <w:r w:rsidRPr="00F53BB4">
        <w:rPr>
          <w:rFonts w:ascii="Times New Roman" w:hAnsi="Times New Roman" w:cs="Times New Roman"/>
          <w:lang w:val="en-US"/>
        </w:rPr>
        <w:t xml:space="preserve">? </w:t>
      </w:r>
      <w:r w:rsidR="00FF522C" w:rsidRPr="00F53BB4">
        <w:rPr>
          <w:rFonts w:ascii="Times New Roman" w:hAnsi="Times New Roman" w:cs="Times New Roman"/>
          <w:lang w:val="en-US"/>
        </w:rPr>
        <w:t xml:space="preserve">Figure 7 sheds light on this question on the basis of individual-level data from the RECONNECT citizen-level survey, mapping the mean position of major parties amongst Danish respondents (from top to bottom, the centre-right </w:t>
      </w:r>
      <w:proofErr w:type="spellStart"/>
      <w:r w:rsidR="00FF522C" w:rsidRPr="00F53BB4">
        <w:rPr>
          <w:rFonts w:ascii="Times New Roman" w:hAnsi="Times New Roman" w:cs="Times New Roman"/>
          <w:lang w:val="en-US"/>
        </w:rPr>
        <w:t>Venstre</w:t>
      </w:r>
      <w:proofErr w:type="spellEnd"/>
      <w:r w:rsidR="008A244D">
        <w:rPr>
          <w:rFonts w:ascii="Times New Roman" w:hAnsi="Times New Roman" w:cs="Times New Roman"/>
          <w:lang w:val="en-US"/>
        </w:rPr>
        <w:t xml:space="preserve"> “V”</w:t>
      </w:r>
      <w:r w:rsidR="00FF522C" w:rsidRPr="00F53BB4">
        <w:rPr>
          <w:rFonts w:ascii="Times New Roman" w:hAnsi="Times New Roman" w:cs="Times New Roman"/>
          <w:lang w:val="en-US"/>
        </w:rPr>
        <w:t xml:space="preserve">, </w:t>
      </w:r>
      <w:r w:rsidR="008A244D">
        <w:rPr>
          <w:rFonts w:ascii="Times New Roman" w:hAnsi="Times New Roman" w:cs="Times New Roman"/>
          <w:lang w:val="en-US"/>
        </w:rPr>
        <w:t xml:space="preserve">the </w:t>
      </w:r>
      <w:r w:rsidR="00FF522C" w:rsidRPr="00F53BB4">
        <w:rPr>
          <w:rFonts w:ascii="Times New Roman" w:hAnsi="Times New Roman" w:cs="Times New Roman"/>
          <w:lang w:val="en-US"/>
        </w:rPr>
        <w:t>Social Democrats</w:t>
      </w:r>
      <w:r w:rsidR="008A244D">
        <w:rPr>
          <w:rFonts w:ascii="Times New Roman" w:hAnsi="Times New Roman" w:cs="Times New Roman"/>
          <w:lang w:val="en-US"/>
        </w:rPr>
        <w:t xml:space="preserve"> “SD”</w:t>
      </w:r>
      <w:r w:rsidR="00FF522C" w:rsidRPr="00F53BB4">
        <w:rPr>
          <w:rFonts w:ascii="Times New Roman" w:hAnsi="Times New Roman" w:cs="Times New Roman"/>
          <w:lang w:val="en-US"/>
        </w:rPr>
        <w:t>, the far-right Danish People’s Party</w:t>
      </w:r>
      <w:r w:rsidR="008A244D">
        <w:rPr>
          <w:rFonts w:ascii="Times New Roman" w:hAnsi="Times New Roman" w:cs="Times New Roman"/>
          <w:lang w:val="en-US"/>
        </w:rPr>
        <w:t xml:space="preserve"> “O”</w:t>
      </w:r>
      <w:r w:rsidR="00FF522C" w:rsidRPr="00F53BB4">
        <w:rPr>
          <w:rFonts w:ascii="Times New Roman" w:hAnsi="Times New Roman" w:cs="Times New Roman"/>
          <w:lang w:val="en-US"/>
        </w:rPr>
        <w:t xml:space="preserve">, </w:t>
      </w:r>
      <w:r w:rsidR="008A244D">
        <w:rPr>
          <w:rFonts w:ascii="Times New Roman" w:hAnsi="Times New Roman" w:cs="Times New Roman"/>
          <w:lang w:val="en-US"/>
        </w:rPr>
        <w:t xml:space="preserve">the </w:t>
      </w:r>
      <w:r w:rsidR="00FF522C" w:rsidRPr="00F53BB4">
        <w:rPr>
          <w:rFonts w:ascii="Times New Roman" w:hAnsi="Times New Roman" w:cs="Times New Roman"/>
          <w:lang w:val="en-US"/>
        </w:rPr>
        <w:t xml:space="preserve">far-left </w:t>
      </w:r>
      <w:proofErr w:type="spellStart"/>
      <w:r w:rsidR="00FF522C" w:rsidRPr="00F53BB4">
        <w:rPr>
          <w:rFonts w:ascii="Times New Roman" w:hAnsi="Times New Roman" w:cs="Times New Roman"/>
          <w:lang w:val="en-US"/>
        </w:rPr>
        <w:t>Enhedslisten</w:t>
      </w:r>
      <w:proofErr w:type="spellEnd"/>
      <w:r w:rsidR="008A244D">
        <w:rPr>
          <w:rFonts w:ascii="Times New Roman" w:hAnsi="Times New Roman" w:cs="Times New Roman"/>
          <w:lang w:val="en-US"/>
        </w:rPr>
        <w:t xml:space="preserve"> “</w:t>
      </w:r>
      <w:proofErr w:type="spellStart"/>
      <w:r w:rsidR="008A244D">
        <w:rPr>
          <w:rFonts w:ascii="Times New Roman" w:hAnsi="Times New Roman" w:cs="Times New Roman"/>
          <w:lang w:val="en-US"/>
        </w:rPr>
        <w:t>Enhe</w:t>
      </w:r>
      <w:proofErr w:type="spellEnd"/>
      <w:r w:rsidR="008A244D">
        <w:rPr>
          <w:rFonts w:ascii="Times New Roman" w:hAnsi="Times New Roman" w:cs="Times New Roman"/>
          <w:lang w:val="en-US"/>
        </w:rPr>
        <w:t>”</w:t>
      </w:r>
      <w:r w:rsidR="00FF522C" w:rsidRPr="00F53BB4">
        <w:rPr>
          <w:rFonts w:ascii="Times New Roman" w:hAnsi="Times New Roman" w:cs="Times New Roman"/>
          <w:lang w:val="en-US"/>
        </w:rPr>
        <w:t xml:space="preserve">, </w:t>
      </w:r>
      <w:r w:rsidR="008A244D">
        <w:rPr>
          <w:rFonts w:ascii="Times New Roman" w:hAnsi="Times New Roman" w:cs="Times New Roman"/>
          <w:lang w:val="en-US"/>
        </w:rPr>
        <w:t xml:space="preserve">the </w:t>
      </w:r>
      <w:r w:rsidR="00FF522C" w:rsidRPr="00F53BB4">
        <w:rPr>
          <w:rFonts w:ascii="Times New Roman" w:hAnsi="Times New Roman" w:cs="Times New Roman"/>
          <w:lang w:val="en-US"/>
        </w:rPr>
        <w:t>Socialist People's Party</w:t>
      </w:r>
      <w:r w:rsidR="008A244D">
        <w:rPr>
          <w:rFonts w:ascii="Times New Roman" w:hAnsi="Times New Roman" w:cs="Times New Roman"/>
          <w:lang w:val="en-US"/>
        </w:rPr>
        <w:t xml:space="preserve"> “SF”</w:t>
      </w:r>
      <w:r w:rsidR="00FF522C" w:rsidRPr="00F53BB4">
        <w:rPr>
          <w:rFonts w:ascii="Times New Roman" w:hAnsi="Times New Roman" w:cs="Times New Roman"/>
          <w:lang w:val="en-US"/>
        </w:rPr>
        <w:t xml:space="preserve"> and </w:t>
      </w:r>
      <w:r w:rsidR="008A244D">
        <w:rPr>
          <w:rFonts w:ascii="Times New Roman" w:hAnsi="Times New Roman" w:cs="Times New Roman"/>
          <w:lang w:val="en-US"/>
        </w:rPr>
        <w:t xml:space="preserve">the </w:t>
      </w:r>
      <w:r w:rsidR="00FF522C" w:rsidRPr="00F53BB4">
        <w:rPr>
          <w:rFonts w:ascii="Times New Roman" w:hAnsi="Times New Roman" w:cs="Times New Roman"/>
          <w:lang w:val="en-US"/>
        </w:rPr>
        <w:t>Social Liberal</w:t>
      </w:r>
      <w:r w:rsidR="0015141F">
        <w:rPr>
          <w:rFonts w:ascii="Times New Roman" w:hAnsi="Times New Roman" w:cs="Times New Roman"/>
          <w:lang w:val="en-US"/>
        </w:rPr>
        <w:t>s</w:t>
      </w:r>
      <w:r w:rsidR="00FF522C" w:rsidRPr="00F53BB4">
        <w:rPr>
          <w:rFonts w:ascii="Times New Roman" w:hAnsi="Times New Roman" w:cs="Times New Roman"/>
          <w:lang w:val="en-US"/>
        </w:rPr>
        <w:t xml:space="preserve"> </w:t>
      </w:r>
      <w:r w:rsidR="008A244D">
        <w:rPr>
          <w:rFonts w:ascii="Times New Roman" w:hAnsi="Times New Roman" w:cs="Times New Roman"/>
          <w:lang w:val="en-US"/>
        </w:rPr>
        <w:t>“B”</w:t>
      </w:r>
      <w:r w:rsidR="00FF522C" w:rsidRPr="00F53BB4">
        <w:rPr>
          <w:rFonts w:ascii="Times New Roman" w:hAnsi="Times New Roman" w:cs="Times New Roman"/>
          <w:lang w:val="en-US"/>
        </w:rPr>
        <w:t>)</w:t>
      </w:r>
      <w:r w:rsidR="00231590" w:rsidRPr="00F53BB4">
        <w:rPr>
          <w:rFonts w:ascii="Times New Roman" w:hAnsi="Times New Roman" w:cs="Times New Roman"/>
          <w:lang w:val="en-US"/>
        </w:rPr>
        <w:t xml:space="preserve"> both before and after the election campaign</w:t>
      </w:r>
      <w:r w:rsidR="00FF522C" w:rsidRPr="00F53BB4">
        <w:rPr>
          <w:rFonts w:ascii="Times New Roman" w:hAnsi="Times New Roman" w:cs="Times New Roman"/>
          <w:lang w:val="en-US"/>
        </w:rPr>
        <w:t xml:space="preserve">. </w:t>
      </w:r>
      <w:r w:rsidR="00231590" w:rsidRPr="00F53BB4">
        <w:rPr>
          <w:rFonts w:ascii="Times New Roman" w:hAnsi="Times New Roman" w:cs="Times New Roman"/>
          <w:lang w:val="en-US"/>
        </w:rPr>
        <w:t xml:space="preserve">Respondents were asked to place each party on a 0-10 European unification scale, where 0 indicates that unification has “gone too far” and 10 that it should be “pushed further”. </w:t>
      </w:r>
      <w:r w:rsidR="00FF522C" w:rsidRPr="00F53BB4">
        <w:rPr>
          <w:rFonts w:ascii="Times New Roman" w:hAnsi="Times New Roman" w:cs="Times New Roman"/>
          <w:lang w:val="en-US"/>
        </w:rPr>
        <w:t xml:space="preserve">Whiskers around the means plot </w:t>
      </w:r>
      <w:r w:rsidR="000110A4">
        <w:rPr>
          <w:rFonts w:ascii="Times New Roman" w:hAnsi="Times New Roman" w:cs="Times New Roman"/>
          <w:lang w:val="en-US"/>
        </w:rPr>
        <w:t>twice</w:t>
      </w:r>
      <w:r w:rsidR="000110A4" w:rsidRPr="00F53BB4">
        <w:rPr>
          <w:rFonts w:ascii="Times New Roman" w:hAnsi="Times New Roman" w:cs="Times New Roman"/>
          <w:lang w:val="en-US"/>
        </w:rPr>
        <w:t xml:space="preserve"> </w:t>
      </w:r>
      <w:r w:rsidR="00F53BB4">
        <w:rPr>
          <w:rFonts w:ascii="Times New Roman" w:hAnsi="Times New Roman" w:cs="Times New Roman"/>
          <w:lang w:val="en-US"/>
        </w:rPr>
        <w:t>the standard error</w:t>
      </w:r>
      <w:r w:rsidR="00FF522C" w:rsidRPr="00F53BB4">
        <w:rPr>
          <w:rFonts w:ascii="Times New Roman" w:hAnsi="Times New Roman" w:cs="Times New Roman"/>
          <w:lang w:val="en-US"/>
        </w:rPr>
        <w:t xml:space="preserve">. </w:t>
      </w:r>
    </w:p>
    <w:p w14:paraId="1BC35560" w14:textId="1A53158A" w:rsidR="0064239A" w:rsidRPr="00F53BB4" w:rsidRDefault="00FF522C" w:rsidP="00231590">
      <w:pPr>
        <w:spacing w:line="360" w:lineRule="auto"/>
        <w:ind w:firstLine="708"/>
        <w:jc w:val="both"/>
        <w:rPr>
          <w:rFonts w:ascii="Times New Roman" w:hAnsi="Times New Roman" w:cs="Times New Roman"/>
          <w:lang w:val="en-US"/>
        </w:rPr>
      </w:pPr>
      <w:r w:rsidRPr="00F53BB4">
        <w:rPr>
          <w:rFonts w:ascii="Times New Roman" w:hAnsi="Times New Roman" w:cs="Times New Roman"/>
          <w:lang w:val="en-US"/>
        </w:rPr>
        <w:t xml:space="preserve">Most strikingly, even before the campaign began, respondents </w:t>
      </w:r>
      <w:r w:rsidR="000C43E0">
        <w:rPr>
          <w:rFonts w:ascii="Times New Roman" w:hAnsi="Times New Roman" w:cs="Times New Roman"/>
          <w:lang w:val="en-US"/>
        </w:rPr>
        <w:t>already perceived major differences in party positions,</w:t>
      </w:r>
      <w:r w:rsidRPr="00F53BB4">
        <w:rPr>
          <w:rFonts w:ascii="Times New Roman" w:hAnsi="Times New Roman" w:cs="Times New Roman"/>
          <w:lang w:val="en-US"/>
        </w:rPr>
        <w:t xml:space="preserve"> </w:t>
      </w:r>
      <w:r w:rsidR="00AB216C">
        <w:rPr>
          <w:rFonts w:ascii="Times New Roman" w:hAnsi="Times New Roman" w:cs="Times New Roman"/>
          <w:lang w:val="en-US"/>
        </w:rPr>
        <w:t>perceiving the</w:t>
      </w:r>
      <w:r w:rsidRPr="00F53BB4">
        <w:rPr>
          <w:rFonts w:ascii="Times New Roman" w:hAnsi="Times New Roman" w:cs="Times New Roman"/>
          <w:lang w:val="en-US"/>
        </w:rPr>
        <w:t xml:space="preserve"> far-right Danish People's Party (O) and far-left </w:t>
      </w:r>
      <w:r w:rsidR="00354DE8" w:rsidRPr="00F53BB4">
        <w:rPr>
          <w:rFonts w:ascii="Times New Roman" w:hAnsi="Times New Roman" w:cs="Times New Roman"/>
          <w:lang w:val="en-US"/>
        </w:rPr>
        <w:t xml:space="preserve">Red-Green Alliance (Ø) </w:t>
      </w:r>
      <w:r w:rsidR="00AB216C">
        <w:rPr>
          <w:rFonts w:ascii="Times New Roman" w:hAnsi="Times New Roman" w:cs="Times New Roman"/>
          <w:lang w:val="en-US"/>
        </w:rPr>
        <w:t>to be Eurosceptic and the</w:t>
      </w:r>
      <w:r w:rsidRPr="00F53BB4">
        <w:rPr>
          <w:rFonts w:ascii="Times New Roman" w:hAnsi="Times New Roman" w:cs="Times New Roman"/>
          <w:lang w:val="en-US"/>
        </w:rPr>
        <w:t xml:space="preserve"> centrist </w:t>
      </w:r>
      <w:r w:rsidR="00354DE8" w:rsidRPr="00F53BB4">
        <w:rPr>
          <w:rFonts w:ascii="Times New Roman" w:hAnsi="Times New Roman" w:cs="Times New Roman"/>
          <w:lang w:val="en-US"/>
        </w:rPr>
        <w:t>Liberals (</w:t>
      </w:r>
      <w:r w:rsidRPr="00F53BB4">
        <w:rPr>
          <w:rFonts w:ascii="Times New Roman" w:hAnsi="Times New Roman" w:cs="Times New Roman"/>
          <w:lang w:val="en-US"/>
        </w:rPr>
        <w:t>V), Social Democrats (A) and Social Liberal</w:t>
      </w:r>
      <w:r w:rsidR="0015141F">
        <w:rPr>
          <w:rFonts w:ascii="Times New Roman" w:hAnsi="Times New Roman" w:cs="Times New Roman"/>
          <w:lang w:val="en-US"/>
        </w:rPr>
        <w:t>s</w:t>
      </w:r>
      <w:r w:rsidRPr="00F53BB4">
        <w:rPr>
          <w:rFonts w:ascii="Times New Roman" w:hAnsi="Times New Roman" w:cs="Times New Roman"/>
          <w:lang w:val="en-US"/>
        </w:rPr>
        <w:t xml:space="preserve"> (B)</w:t>
      </w:r>
      <w:r w:rsidR="00AB216C">
        <w:rPr>
          <w:rFonts w:ascii="Times New Roman" w:hAnsi="Times New Roman" w:cs="Times New Roman"/>
          <w:lang w:val="en-US"/>
        </w:rPr>
        <w:t xml:space="preserve"> to take pro-integration stances</w:t>
      </w:r>
      <w:r w:rsidRPr="00F53BB4">
        <w:rPr>
          <w:rFonts w:ascii="Times New Roman" w:hAnsi="Times New Roman" w:cs="Times New Roman"/>
          <w:lang w:val="en-US"/>
        </w:rPr>
        <w:t xml:space="preserve">. The mean plus twice the standard error </w:t>
      </w:r>
      <w:r w:rsidR="00974BC5">
        <w:rPr>
          <w:rFonts w:ascii="Times New Roman" w:hAnsi="Times New Roman" w:cs="Times New Roman"/>
          <w:lang w:val="en-US"/>
        </w:rPr>
        <w:t>for any two parties drawn from either group does not overlap, indicating a ‘real’ perceived difference</w:t>
      </w:r>
      <w:r w:rsidR="00231590" w:rsidRPr="00F53BB4">
        <w:rPr>
          <w:rFonts w:ascii="Times New Roman" w:hAnsi="Times New Roman" w:cs="Times New Roman"/>
          <w:lang w:val="en-US"/>
        </w:rPr>
        <w:t xml:space="preserve">. </w:t>
      </w:r>
      <w:r w:rsidR="00AD22B2">
        <w:rPr>
          <w:rFonts w:ascii="Times New Roman" w:hAnsi="Times New Roman" w:cs="Times New Roman"/>
          <w:lang w:val="en-US"/>
        </w:rPr>
        <w:t>At the same time</w:t>
      </w:r>
      <w:r w:rsidR="003B2C5B" w:rsidRPr="00F53BB4">
        <w:rPr>
          <w:rFonts w:ascii="Times New Roman" w:hAnsi="Times New Roman" w:cs="Times New Roman"/>
          <w:lang w:val="en-US"/>
        </w:rPr>
        <w:t xml:space="preserve">, Figure </w:t>
      </w:r>
      <w:r w:rsidR="000110A4">
        <w:rPr>
          <w:rFonts w:ascii="Times New Roman" w:hAnsi="Times New Roman" w:cs="Times New Roman"/>
          <w:lang w:val="en-US"/>
        </w:rPr>
        <w:t>7</w:t>
      </w:r>
      <w:r w:rsidR="003B2C5B" w:rsidRPr="00F53BB4">
        <w:rPr>
          <w:rFonts w:ascii="Times New Roman" w:hAnsi="Times New Roman" w:cs="Times New Roman"/>
          <w:lang w:val="en-US"/>
        </w:rPr>
        <w:t xml:space="preserve"> shows that although </w:t>
      </w:r>
      <w:r w:rsidR="000110A4">
        <w:rPr>
          <w:rFonts w:ascii="Times New Roman" w:hAnsi="Times New Roman" w:cs="Times New Roman"/>
          <w:lang w:val="en-US"/>
        </w:rPr>
        <w:t>respondents perceived the</w:t>
      </w:r>
      <w:r w:rsidR="003B2C5B" w:rsidRPr="00F53BB4">
        <w:rPr>
          <w:rFonts w:ascii="Times New Roman" w:hAnsi="Times New Roman" w:cs="Times New Roman"/>
          <w:lang w:val="en-US"/>
        </w:rPr>
        <w:t xml:space="preserve"> Danish People’s Party and the Red-Green Alliance </w:t>
      </w:r>
      <w:r w:rsidR="000110A4">
        <w:rPr>
          <w:rFonts w:ascii="Times New Roman" w:hAnsi="Times New Roman" w:cs="Times New Roman"/>
          <w:lang w:val="en-US"/>
        </w:rPr>
        <w:t>to be the</w:t>
      </w:r>
      <w:r w:rsidR="003B2C5B" w:rsidRPr="00F53BB4">
        <w:rPr>
          <w:rFonts w:ascii="Times New Roman" w:hAnsi="Times New Roman" w:cs="Times New Roman"/>
          <w:lang w:val="en-US"/>
        </w:rPr>
        <w:t xml:space="preserve"> most Eurosceptic parties in the Danish parliament</w:t>
      </w:r>
      <w:r w:rsidR="00AB216C">
        <w:rPr>
          <w:rFonts w:ascii="Times New Roman" w:hAnsi="Times New Roman" w:cs="Times New Roman"/>
          <w:lang w:val="en-US"/>
        </w:rPr>
        <w:t xml:space="preserve"> </w:t>
      </w:r>
      <w:r w:rsidR="00331715">
        <w:rPr>
          <w:rFonts w:ascii="Times New Roman" w:hAnsi="Times New Roman" w:cs="Times New Roman"/>
          <w:lang w:val="en-US"/>
        </w:rPr>
        <w:t>(</w:t>
      </w:r>
      <w:r w:rsidR="000110A4">
        <w:rPr>
          <w:rFonts w:ascii="Times New Roman" w:hAnsi="Times New Roman" w:cs="Times New Roman"/>
          <w:lang w:val="en-US"/>
        </w:rPr>
        <w:t>both before the campaign and after its conclusion</w:t>
      </w:r>
      <w:r w:rsidR="00331715">
        <w:rPr>
          <w:rFonts w:ascii="Times New Roman" w:hAnsi="Times New Roman" w:cs="Times New Roman"/>
          <w:lang w:val="en-US"/>
        </w:rPr>
        <w:t>)</w:t>
      </w:r>
      <w:r w:rsidR="003B2C5B" w:rsidRPr="00F53BB4">
        <w:rPr>
          <w:rFonts w:ascii="Times New Roman" w:hAnsi="Times New Roman" w:cs="Times New Roman"/>
          <w:lang w:val="en-US"/>
        </w:rPr>
        <w:t xml:space="preserve">, </w:t>
      </w:r>
      <w:r w:rsidR="000110A4">
        <w:rPr>
          <w:rFonts w:ascii="Times New Roman" w:hAnsi="Times New Roman" w:cs="Times New Roman"/>
          <w:lang w:val="en-US"/>
        </w:rPr>
        <w:t>their mean placements are nowhere</w:t>
      </w:r>
      <w:r w:rsidR="003B2C5B" w:rsidRPr="00F53BB4">
        <w:rPr>
          <w:rFonts w:ascii="Times New Roman" w:hAnsi="Times New Roman" w:cs="Times New Roman"/>
          <w:lang w:val="en-US"/>
        </w:rPr>
        <w:t xml:space="preserve"> near the zero-point </w:t>
      </w:r>
      <w:r w:rsidR="00AB216C">
        <w:rPr>
          <w:rFonts w:ascii="Times New Roman" w:hAnsi="Times New Roman" w:cs="Times New Roman"/>
          <w:lang w:val="en-US"/>
        </w:rPr>
        <w:t xml:space="preserve">on the </w:t>
      </w:r>
      <w:r w:rsidR="00331715">
        <w:rPr>
          <w:rFonts w:ascii="Times New Roman" w:hAnsi="Times New Roman" w:cs="Times New Roman"/>
          <w:lang w:val="en-US"/>
        </w:rPr>
        <w:t>European unification scale</w:t>
      </w:r>
      <w:r w:rsidR="003B2C5B" w:rsidRPr="00F53BB4">
        <w:rPr>
          <w:rFonts w:ascii="Times New Roman" w:hAnsi="Times New Roman" w:cs="Times New Roman"/>
          <w:lang w:val="en-US"/>
        </w:rPr>
        <w:t xml:space="preserve">. Hence, </w:t>
      </w:r>
      <w:r w:rsidR="00974BC5">
        <w:rPr>
          <w:rFonts w:ascii="Times New Roman" w:hAnsi="Times New Roman" w:cs="Times New Roman"/>
          <w:lang w:val="en-US"/>
        </w:rPr>
        <w:t>D</w:t>
      </w:r>
      <w:r w:rsidR="00AB216C">
        <w:rPr>
          <w:rFonts w:ascii="Times New Roman" w:hAnsi="Times New Roman" w:cs="Times New Roman"/>
          <w:lang w:val="en-US"/>
        </w:rPr>
        <w:t xml:space="preserve">anish voters </w:t>
      </w:r>
      <w:r w:rsidR="00331715">
        <w:rPr>
          <w:rFonts w:ascii="Times New Roman" w:hAnsi="Times New Roman" w:cs="Times New Roman"/>
          <w:lang w:val="en-US"/>
        </w:rPr>
        <w:t>do not perceive either party</w:t>
      </w:r>
      <w:r w:rsidR="00974BC5">
        <w:rPr>
          <w:rFonts w:ascii="Times New Roman" w:hAnsi="Times New Roman" w:cs="Times New Roman"/>
          <w:lang w:val="en-US"/>
        </w:rPr>
        <w:t xml:space="preserve"> to be </w:t>
      </w:r>
      <w:r w:rsidR="003B2C5B" w:rsidRPr="00F53BB4">
        <w:rPr>
          <w:rFonts w:ascii="Times New Roman" w:hAnsi="Times New Roman" w:cs="Times New Roman"/>
          <w:lang w:val="en-US"/>
        </w:rPr>
        <w:t xml:space="preserve">a true, niche </w:t>
      </w:r>
      <w:r w:rsidR="00974BC5">
        <w:rPr>
          <w:rFonts w:ascii="Times New Roman" w:hAnsi="Times New Roman" w:cs="Times New Roman"/>
          <w:lang w:val="en-US"/>
        </w:rPr>
        <w:t>party that is completely and fully opposed to the EU</w:t>
      </w:r>
      <w:r w:rsidR="003B2C5B" w:rsidRPr="00F53BB4">
        <w:rPr>
          <w:rFonts w:ascii="Times New Roman" w:hAnsi="Times New Roman" w:cs="Times New Roman"/>
          <w:lang w:val="en-US"/>
        </w:rPr>
        <w:t xml:space="preserve">. </w:t>
      </w:r>
      <w:r w:rsidR="00231590" w:rsidRPr="00F53BB4">
        <w:rPr>
          <w:rFonts w:ascii="Times New Roman" w:hAnsi="Times New Roman" w:cs="Times New Roman"/>
          <w:lang w:val="en-US"/>
        </w:rPr>
        <w:t xml:space="preserve">Meanwhile, the more ambivalent Socialist People's Party, which initially strongly opposed European integration as a market-making project but has slowly shifted its position </w:t>
      </w:r>
      <w:r w:rsidR="00AD22B2">
        <w:rPr>
          <w:rFonts w:ascii="Times New Roman" w:hAnsi="Times New Roman" w:cs="Times New Roman"/>
          <w:lang w:val="en-US"/>
        </w:rPr>
        <w:t>as the EU has turned towards a focus on market-regulation</w:t>
      </w:r>
      <w:r w:rsidR="00974BC5">
        <w:rPr>
          <w:rFonts w:ascii="Times New Roman" w:hAnsi="Times New Roman" w:cs="Times New Roman"/>
          <w:lang w:val="en-US"/>
        </w:rPr>
        <w:t xml:space="preserve"> in recent decades</w:t>
      </w:r>
      <w:r w:rsidR="00231590" w:rsidRPr="00F53BB4">
        <w:rPr>
          <w:rFonts w:ascii="Times New Roman" w:hAnsi="Times New Roman" w:cs="Times New Roman"/>
          <w:lang w:val="en-US"/>
        </w:rPr>
        <w:t xml:space="preserve">, </w:t>
      </w:r>
      <w:r w:rsidR="000110A4">
        <w:rPr>
          <w:rFonts w:ascii="Times New Roman" w:hAnsi="Times New Roman" w:cs="Times New Roman"/>
          <w:lang w:val="en-US"/>
        </w:rPr>
        <w:t xml:space="preserve">is </w:t>
      </w:r>
      <w:r w:rsidR="00974BC5">
        <w:rPr>
          <w:rFonts w:ascii="Times New Roman" w:hAnsi="Times New Roman" w:cs="Times New Roman"/>
          <w:lang w:val="en-US"/>
        </w:rPr>
        <w:t>perceive</w:t>
      </w:r>
      <w:r w:rsidR="000110A4">
        <w:rPr>
          <w:rFonts w:ascii="Times New Roman" w:hAnsi="Times New Roman" w:cs="Times New Roman"/>
          <w:lang w:val="en-US"/>
        </w:rPr>
        <w:t xml:space="preserve">d as between </w:t>
      </w:r>
      <w:r w:rsidR="00331715">
        <w:rPr>
          <w:rFonts w:ascii="Times New Roman" w:hAnsi="Times New Roman" w:cs="Times New Roman"/>
          <w:lang w:val="en-US"/>
        </w:rPr>
        <w:t>these two groups, both pre- and post-campaign.</w:t>
      </w:r>
      <w:r w:rsidR="000110A4">
        <w:rPr>
          <w:rFonts w:ascii="Times New Roman" w:hAnsi="Times New Roman" w:cs="Times New Roman"/>
          <w:lang w:val="en-US"/>
        </w:rPr>
        <w:t xml:space="preserve"> </w:t>
      </w:r>
    </w:p>
    <w:p w14:paraId="6E8A02DA" w14:textId="7AA370CB" w:rsidR="00646625" w:rsidRPr="00F53BB4" w:rsidRDefault="00476279" w:rsidP="00354DE8">
      <w:pPr>
        <w:spacing w:line="360" w:lineRule="auto"/>
        <w:ind w:firstLine="708"/>
        <w:jc w:val="both"/>
        <w:rPr>
          <w:rFonts w:ascii="Times New Roman" w:hAnsi="Times New Roman" w:cs="Times New Roman"/>
          <w:lang w:val="en-US"/>
        </w:rPr>
      </w:pPr>
      <w:r>
        <w:rPr>
          <w:rFonts w:ascii="Times New Roman" w:hAnsi="Times New Roman" w:cs="Times New Roman"/>
          <w:lang w:val="en-US"/>
        </w:rPr>
        <w:t>The key campaign effect appears to be</w:t>
      </w:r>
      <w:r w:rsidR="00231590" w:rsidRPr="00F53BB4">
        <w:rPr>
          <w:rFonts w:ascii="Times New Roman" w:hAnsi="Times New Roman" w:cs="Times New Roman"/>
          <w:lang w:val="en-US"/>
        </w:rPr>
        <w:t xml:space="preserve"> an increasing clarity of </w:t>
      </w:r>
      <w:r w:rsidR="00560AC8">
        <w:rPr>
          <w:rFonts w:ascii="Times New Roman" w:hAnsi="Times New Roman" w:cs="Times New Roman"/>
          <w:lang w:val="en-US"/>
        </w:rPr>
        <w:t>differences in party positions for those that were perceived to take clear positions before the campaign (</w:t>
      </w:r>
      <w:r w:rsidR="00764FDC">
        <w:rPr>
          <w:rFonts w:ascii="Times New Roman" w:hAnsi="Times New Roman" w:cs="Times New Roman"/>
          <w:lang w:val="en-US"/>
        </w:rPr>
        <w:t xml:space="preserve">except for </w:t>
      </w:r>
      <w:r w:rsidR="00560AC8">
        <w:rPr>
          <w:rFonts w:ascii="Times New Roman" w:hAnsi="Times New Roman" w:cs="Times New Roman"/>
          <w:lang w:val="en-US"/>
        </w:rPr>
        <w:t xml:space="preserve">the </w:t>
      </w:r>
      <w:r w:rsidR="00560AC8" w:rsidRPr="00560AC8">
        <w:rPr>
          <w:rFonts w:ascii="Times New Roman" w:hAnsi="Times New Roman" w:cs="Times New Roman"/>
          <w:lang w:val="en-US"/>
        </w:rPr>
        <w:t>Socialist People's Party</w:t>
      </w:r>
      <w:r w:rsidR="00560AC8">
        <w:rPr>
          <w:rFonts w:ascii="Times New Roman" w:hAnsi="Times New Roman" w:cs="Times New Roman"/>
          <w:lang w:val="en-US"/>
        </w:rPr>
        <w:t>),</w:t>
      </w:r>
      <w:r w:rsidR="00560AC8" w:rsidRPr="00F53BB4" w:rsidDel="00560AC8">
        <w:rPr>
          <w:rFonts w:ascii="Times New Roman" w:hAnsi="Times New Roman" w:cs="Times New Roman"/>
          <w:lang w:val="en-US"/>
        </w:rPr>
        <w:t xml:space="preserve"> </w:t>
      </w:r>
      <w:r w:rsidR="00231590" w:rsidRPr="00F53BB4">
        <w:rPr>
          <w:rFonts w:ascii="Times New Roman" w:hAnsi="Times New Roman" w:cs="Times New Roman"/>
          <w:lang w:val="en-US"/>
        </w:rPr>
        <w:t xml:space="preserve"> indicated by </w:t>
      </w:r>
      <w:r w:rsidR="00560AC8">
        <w:rPr>
          <w:rFonts w:ascii="Times New Roman" w:hAnsi="Times New Roman" w:cs="Times New Roman"/>
          <w:lang w:val="en-US"/>
        </w:rPr>
        <w:t>the more polarized placements of parties</w:t>
      </w:r>
      <w:r w:rsidR="00231590" w:rsidRPr="00F53BB4">
        <w:rPr>
          <w:rFonts w:ascii="Times New Roman" w:hAnsi="Times New Roman" w:cs="Times New Roman"/>
          <w:lang w:val="en-US"/>
        </w:rPr>
        <w:t xml:space="preserve"> after the campaign had run its course. </w:t>
      </w:r>
      <w:r w:rsidR="00044283" w:rsidRPr="00F53BB4">
        <w:rPr>
          <w:rFonts w:ascii="Times New Roman" w:hAnsi="Times New Roman" w:cs="Times New Roman"/>
          <w:lang w:val="en-US"/>
        </w:rPr>
        <w:t xml:space="preserve">Though the </w:t>
      </w:r>
      <w:r w:rsidR="00560AC8">
        <w:rPr>
          <w:rFonts w:ascii="Times New Roman" w:hAnsi="Times New Roman" w:cs="Times New Roman"/>
          <w:lang w:val="en-US"/>
        </w:rPr>
        <w:t xml:space="preserve">greater </w:t>
      </w:r>
      <w:r w:rsidR="00044283" w:rsidRPr="00F53BB4">
        <w:rPr>
          <w:rFonts w:ascii="Times New Roman" w:hAnsi="Times New Roman" w:cs="Times New Roman"/>
          <w:lang w:val="en-US"/>
        </w:rPr>
        <w:t>extremity</w:t>
      </w:r>
      <w:r w:rsidR="00231590" w:rsidRPr="00F53BB4">
        <w:rPr>
          <w:rFonts w:ascii="Times New Roman" w:hAnsi="Times New Roman" w:cs="Times New Roman"/>
          <w:lang w:val="en-US"/>
        </w:rPr>
        <w:t xml:space="preserve"> increase</w:t>
      </w:r>
      <w:r w:rsidR="00044283" w:rsidRPr="00F53BB4">
        <w:rPr>
          <w:rFonts w:ascii="Times New Roman" w:hAnsi="Times New Roman" w:cs="Times New Roman"/>
          <w:lang w:val="en-US"/>
        </w:rPr>
        <w:t xml:space="preserve"> </w:t>
      </w:r>
      <w:r w:rsidR="00560AC8">
        <w:rPr>
          <w:rFonts w:ascii="Times New Roman" w:hAnsi="Times New Roman" w:cs="Times New Roman"/>
          <w:lang w:val="en-US"/>
        </w:rPr>
        <w:t xml:space="preserve">for individual parties leading to greater </w:t>
      </w:r>
      <w:proofErr w:type="spellStart"/>
      <w:r w:rsidR="00560AC8">
        <w:rPr>
          <w:rFonts w:ascii="Times New Roman" w:hAnsi="Times New Roman" w:cs="Times New Roman"/>
          <w:lang w:val="en-US"/>
        </w:rPr>
        <w:t>polarisation</w:t>
      </w:r>
      <w:proofErr w:type="spellEnd"/>
      <w:r w:rsidR="00560AC8">
        <w:rPr>
          <w:rFonts w:ascii="Times New Roman" w:hAnsi="Times New Roman" w:cs="Times New Roman"/>
          <w:lang w:val="en-US"/>
        </w:rPr>
        <w:t xml:space="preserve"> overall </w:t>
      </w:r>
      <w:r w:rsidR="00044283" w:rsidRPr="00F53BB4">
        <w:rPr>
          <w:rFonts w:ascii="Times New Roman" w:hAnsi="Times New Roman" w:cs="Times New Roman"/>
          <w:lang w:val="en-US"/>
        </w:rPr>
        <w:t>is slight in mos</w:t>
      </w:r>
      <w:r w:rsidR="00231590" w:rsidRPr="00F53BB4">
        <w:rPr>
          <w:rFonts w:ascii="Times New Roman" w:hAnsi="Times New Roman" w:cs="Times New Roman"/>
          <w:lang w:val="en-US"/>
        </w:rPr>
        <w:t>t cases</w:t>
      </w:r>
      <w:r w:rsidR="00560AC8">
        <w:rPr>
          <w:rFonts w:ascii="Times New Roman" w:hAnsi="Times New Roman" w:cs="Times New Roman"/>
          <w:lang w:val="en-US"/>
        </w:rPr>
        <w:t xml:space="preserve"> (so slight, in fact, that the mean plus twice the standard error does overlap in every case)</w:t>
      </w:r>
      <w:r w:rsidR="00231590" w:rsidRPr="00F53BB4">
        <w:rPr>
          <w:rFonts w:ascii="Times New Roman" w:hAnsi="Times New Roman" w:cs="Times New Roman"/>
          <w:lang w:val="en-US"/>
        </w:rPr>
        <w:t>, the pattern is</w:t>
      </w:r>
      <w:r w:rsidR="00D65227" w:rsidRPr="00F53BB4">
        <w:rPr>
          <w:rFonts w:ascii="Times New Roman" w:hAnsi="Times New Roman" w:cs="Times New Roman"/>
          <w:lang w:val="en-US"/>
        </w:rPr>
        <w:t xml:space="preserve"> </w:t>
      </w:r>
      <w:r w:rsidR="00560AC8">
        <w:rPr>
          <w:rFonts w:ascii="Times New Roman" w:hAnsi="Times New Roman" w:cs="Times New Roman"/>
          <w:lang w:val="en-US"/>
        </w:rPr>
        <w:t xml:space="preserve">largely </w:t>
      </w:r>
      <w:r w:rsidR="00D65227" w:rsidRPr="00F53BB4">
        <w:rPr>
          <w:rFonts w:ascii="Times New Roman" w:hAnsi="Times New Roman" w:cs="Times New Roman"/>
          <w:lang w:val="en-US"/>
        </w:rPr>
        <w:t>consistent</w:t>
      </w:r>
      <w:r w:rsidR="00560AC8">
        <w:rPr>
          <w:rFonts w:ascii="Times New Roman" w:hAnsi="Times New Roman" w:cs="Times New Roman"/>
          <w:lang w:val="en-US"/>
        </w:rPr>
        <w:t xml:space="preserve">, </w:t>
      </w:r>
      <w:r w:rsidR="00044283" w:rsidRPr="00F53BB4">
        <w:rPr>
          <w:rFonts w:ascii="Times New Roman" w:hAnsi="Times New Roman" w:cs="Times New Roman"/>
          <w:lang w:val="en-US"/>
        </w:rPr>
        <w:t xml:space="preserve">except for </w:t>
      </w:r>
      <w:r w:rsidR="00354DE8" w:rsidRPr="00F53BB4">
        <w:rPr>
          <w:rFonts w:ascii="Times New Roman" w:hAnsi="Times New Roman" w:cs="Times New Roman"/>
          <w:lang w:val="en-US"/>
        </w:rPr>
        <w:t>the Red-Green Alliance (Ø)</w:t>
      </w:r>
      <w:r w:rsidR="00CB7E2B" w:rsidRPr="00F53BB4">
        <w:rPr>
          <w:rFonts w:ascii="Times New Roman" w:hAnsi="Times New Roman" w:cs="Times New Roman"/>
          <w:lang w:val="en-US"/>
        </w:rPr>
        <w:t xml:space="preserve">, where there is a slight movement </w:t>
      </w:r>
      <w:r w:rsidR="00560AC8">
        <w:rPr>
          <w:rFonts w:ascii="Times New Roman" w:hAnsi="Times New Roman" w:cs="Times New Roman"/>
          <w:lang w:val="en-US"/>
        </w:rPr>
        <w:t>towards the midpoint from a clearer perceived pre-campaign</w:t>
      </w:r>
      <w:r w:rsidR="004A33B2">
        <w:rPr>
          <w:rFonts w:ascii="Times New Roman" w:hAnsi="Times New Roman" w:cs="Times New Roman"/>
          <w:lang w:val="en-US"/>
        </w:rPr>
        <w:t xml:space="preserve"> stance</w:t>
      </w:r>
      <w:r w:rsidR="00CB7E2B" w:rsidRPr="00F53BB4">
        <w:rPr>
          <w:rFonts w:ascii="Times New Roman" w:hAnsi="Times New Roman" w:cs="Times New Roman"/>
          <w:lang w:val="en-US"/>
        </w:rPr>
        <w:t xml:space="preserve">. This is indicative of at least </w:t>
      </w:r>
      <w:r w:rsidR="00231590" w:rsidRPr="00F53BB4">
        <w:rPr>
          <w:rFonts w:ascii="Times New Roman" w:hAnsi="Times New Roman" w:cs="Times New Roman"/>
          <w:lang w:val="en-US"/>
        </w:rPr>
        <w:t>some</w:t>
      </w:r>
      <w:r w:rsidR="00CB7E2B" w:rsidRPr="00F53BB4">
        <w:rPr>
          <w:rFonts w:ascii="Times New Roman" w:hAnsi="Times New Roman" w:cs="Times New Roman"/>
          <w:lang w:val="en-US"/>
        </w:rPr>
        <w:t xml:space="preserve"> </w:t>
      </w:r>
      <w:proofErr w:type="spellStart"/>
      <w:r w:rsidR="00CB7E2B" w:rsidRPr="00F53BB4">
        <w:rPr>
          <w:rFonts w:ascii="Times New Roman" w:hAnsi="Times New Roman" w:cs="Times New Roman"/>
          <w:lang w:val="en-US"/>
        </w:rPr>
        <w:t>politicisation</w:t>
      </w:r>
      <w:proofErr w:type="spellEnd"/>
      <w:r w:rsidR="00CB7E2B" w:rsidRPr="00F53BB4">
        <w:rPr>
          <w:rFonts w:ascii="Times New Roman" w:hAnsi="Times New Roman" w:cs="Times New Roman"/>
          <w:lang w:val="en-US"/>
        </w:rPr>
        <w:t xml:space="preserve"> of European integration as the EP election campaign progressed</w:t>
      </w:r>
      <w:r w:rsidR="00332A29" w:rsidRPr="00F53BB4">
        <w:rPr>
          <w:rFonts w:ascii="Times New Roman" w:hAnsi="Times New Roman" w:cs="Times New Roman"/>
          <w:lang w:val="en-US"/>
        </w:rPr>
        <w:t xml:space="preserve"> – </w:t>
      </w:r>
      <w:r w:rsidR="00231590" w:rsidRPr="00F53BB4">
        <w:rPr>
          <w:rFonts w:ascii="Times New Roman" w:hAnsi="Times New Roman" w:cs="Times New Roman"/>
          <w:lang w:val="en-US"/>
        </w:rPr>
        <w:t xml:space="preserve">even if this </w:t>
      </w:r>
      <w:r w:rsidR="004A33B2">
        <w:rPr>
          <w:rFonts w:ascii="Times New Roman" w:hAnsi="Times New Roman" w:cs="Times New Roman"/>
          <w:lang w:val="en-US"/>
        </w:rPr>
        <w:t>may have also been generated in combination with the national election campaign</w:t>
      </w:r>
      <w:r w:rsidR="00332A29" w:rsidRPr="00F53BB4">
        <w:rPr>
          <w:rFonts w:ascii="Times New Roman" w:hAnsi="Times New Roman" w:cs="Times New Roman"/>
          <w:lang w:val="en-US"/>
        </w:rPr>
        <w:t xml:space="preserve">. </w:t>
      </w:r>
    </w:p>
    <w:p w14:paraId="23713C6D" w14:textId="77777777" w:rsidR="008E1406" w:rsidRPr="00F53BB4" w:rsidRDefault="008E1406" w:rsidP="003A3913">
      <w:pPr>
        <w:spacing w:line="360" w:lineRule="auto"/>
        <w:rPr>
          <w:rFonts w:ascii="Times New Roman" w:hAnsi="Times New Roman" w:cs="Times New Roman"/>
          <w:lang w:val="en-US"/>
        </w:rPr>
      </w:pPr>
    </w:p>
    <w:p w14:paraId="415D47E4" w14:textId="1C320740" w:rsidR="00C42CCC" w:rsidRPr="00F53BB4" w:rsidRDefault="00FF522C" w:rsidP="00F56BF3">
      <w:pPr>
        <w:spacing w:line="360" w:lineRule="auto"/>
        <w:jc w:val="both"/>
        <w:rPr>
          <w:rFonts w:ascii="Times New Roman" w:hAnsi="Times New Roman" w:cs="Times New Roman"/>
          <w:color w:val="000000" w:themeColor="text1"/>
          <w:lang w:val="en-US"/>
        </w:rPr>
      </w:pPr>
      <w:r w:rsidRPr="00F53BB4">
        <w:rPr>
          <w:rFonts w:ascii="Times New Roman" w:hAnsi="Times New Roman" w:cs="Times New Roman"/>
          <w:b/>
          <w:lang w:val="en-US"/>
        </w:rPr>
        <w:t>Figure 7</w:t>
      </w:r>
      <w:r w:rsidR="005909A9" w:rsidRPr="00F53BB4">
        <w:rPr>
          <w:rFonts w:ascii="Times New Roman" w:hAnsi="Times New Roman" w:cs="Times New Roman"/>
          <w:lang w:val="en-US"/>
        </w:rPr>
        <w:t xml:space="preserve">: </w:t>
      </w:r>
      <w:r w:rsidR="005679F9" w:rsidRPr="00F53BB4">
        <w:rPr>
          <w:rFonts w:ascii="Times New Roman" w:hAnsi="Times New Roman" w:cs="Times New Roman"/>
          <w:lang w:val="en-US"/>
        </w:rPr>
        <w:t>Mean of respondents’ perceptions of Danish parties’ European</w:t>
      </w:r>
      <w:r w:rsidR="005419DA" w:rsidRPr="00F53BB4">
        <w:rPr>
          <w:rFonts w:ascii="Times New Roman" w:hAnsi="Times New Roman" w:cs="Times New Roman"/>
          <w:lang w:val="en-US"/>
        </w:rPr>
        <w:t xml:space="preserve"> unification positions</w:t>
      </w:r>
      <w:r w:rsidR="00F56BF3" w:rsidRPr="00F53BB4">
        <w:rPr>
          <w:rFonts w:ascii="Times New Roman" w:hAnsi="Times New Roman" w:cs="Times New Roman"/>
          <w:lang w:val="en-US"/>
        </w:rPr>
        <w:t>, pre- and post-EP election</w:t>
      </w:r>
    </w:p>
    <w:p w14:paraId="4AA95CF4" w14:textId="5BE215CB" w:rsidR="00BF3326" w:rsidRPr="00F53BB4" w:rsidRDefault="00F53BB4" w:rsidP="00F53BB4">
      <w:pPr>
        <w:keepNext/>
        <w:keepLines/>
        <w:spacing w:line="276" w:lineRule="auto"/>
        <w:rPr>
          <w:rFonts w:ascii="Times New Roman" w:hAnsi="Times New Roman" w:cs="Times New Roman"/>
          <w:color w:val="000000" w:themeColor="text1"/>
          <w:lang w:val="en-US"/>
        </w:rPr>
      </w:pPr>
      <w:r w:rsidRPr="00F53BB4">
        <w:rPr>
          <w:rFonts w:ascii="Times New Roman" w:hAnsi="Times New Roman" w:cs="Times New Roman"/>
          <w:noProof/>
          <w:color w:val="000000" w:themeColor="text1"/>
          <w:lang w:val="da-DK" w:eastAsia="da-DK"/>
        </w:rPr>
        <w:drawing>
          <wp:inline distT="0" distB="0" distL="0" distR="0" wp14:anchorId="436F9400" wp14:editId="2EC4B130">
            <wp:extent cx="5756910" cy="4186376"/>
            <wp:effectExtent l="0" t="0" r="0" b="5080"/>
            <wp:docPr id="11" name="Picture 11" descr="Y:\Kritzinger\RECONNECT\BOOK PROJECT\graphs\weighted\party position graphs\weighted_Denmark_position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Kritzinger\RECONNECT\BOOK PROJECT\graphs\weighted\party position graphs\weighted_Denmark_position_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186376"/>
                    </a:xfrm>
                    <a:prstGeom prst="rect">
                      <a:avLst/>
                    </a:prstGeom>
                    <a:noFill/>
                    <a:ln>
                      <a:noFill/>
                    </a:ln>
                  </pic:spPr>
                </pic:pic>
              </a:graphicData>
            </a:graphic>
          </wp:inline>
        </w:drawing>
      </w:r>
    </w:p>
    <w:p w14:paraId="7E1734A6" w14:textId="33C22E58" w:rsidR="005419DA" w:rsidRPr="00F53BB4" w:rsidRDefault="005419DA" w:rsidP="005419DA">
      <w:pPr>
        <w:spacing w:line="360" w:lineRule="auto"/>
        <w:jc w:val="both"/>
        <w:rPr>
          <w:rFonts w:ascii="Times New Roman" w:hAnsi="Times New Roman" w:cs="Times New Roman"/>
          <w:lang w:val="en-US"/>
        </w:rPr>
      </w:pPr>
      <w:r w:rsidRPr="00F53BB4">
        <w:rPr>
          <w:rFonts w:ascii="Times New Roman" w:hAnsi="Times New Roman" w:cs="Times New Roman"/>
          <w:b/>
          <w:lang w:val="en-US"/>
        </w:rPr>
        <w:t>Source</w:t>
      </w:r>
      <w:r w:rsidRPr="00F53BB4">
        <w:rPr>
          <w:rFonts w:ascii="Times New Roman" w:hAnsi="Times New Roman" w:cs="Times New Roman"/>
          <w:lang w:val="en-US"/>
        </w:rPr>
        <w:t>:</w:t>
      </w:r>
      <w:r w:rsidRPr="00F53BB4">
        <w:rPr>
          <w:rFonts w:ascii="Times New Roman" w:hAnsi="Times New Roman" w:cs="Times New Roman"/>
          <w:b/>
          <w:lang w:val="en-US"/>
        </w:rPr>
        <w:t xml:space="preserve"> </w:t>
      </w:r>
      <w:r w:rsidRPr="00F53BB4">
        <w:rPr>
          <w:rFonts w:ascii="Times New Roman" w:hAnsi="Times New Roman" w:cs="Times New Roman"/>
          <w:lang w:val="en-US"/>
        </w:rPr>
        <w:t>RECONNECT 2019 European election survey data. Fieldwork period: P</w:t>
      </w:r>
      <w:r w:rsidR="008F3D19">
        <w:rPr>
          <w:rFonts w:ascii="Times New Roman" w:hAnsi="Times New Roman" w:cs="Times New Roman"/>
          <w:lang w:val="en-US"/>
        </w:rPr>
        <w:t>re-election wave, April 2-</w:t>
      </w:r>
      <w:r w:rsidRPr="00F53BB4">
        <w:rPr>
          <w:rFonts w:ascii="Times New Roman" w:hAnsi="Times New Roman" w:cs="Times New Roman"/>
          <w:lang w:val="en-US"/>
        </w:rPr>
        <w:t>19 2019; Post-election</w:t>
      </w:r>
      <w:r w:rsidR="009D7958" w:rsidRPr="00F53BB4">
        <w:rPr>
          <w:rFonts w:ascii="Times New Roman" w:hAnsi="Times New Roman" w:cs="Times New Roman"/>
          <w:lang w:val="en-US"/>
        </w:rPr>
        <w:t xml:space="preserve"> wave</w:t>
      </w:r>
      <w:r w:rsidRPr="00F53BB4">
        <w:rPr>
          <w:rFonts w:ascii="Times New Roman" w:hAnsi="Times New Roman" w:cs="Times New Roman"/>
          <w:lang w:val="en-US"/>
        </w:rPr>
        <w:t>, May 27-June 24 2019.</w:t>
      </w:r>
      <w:r w:rsidR="00ED2140">
        <w:rPr>
          <w:rFonts w:ascii="Times New Roman" w:hAnsi="Times New Roman" w:cs="Times New Roman"/>
          <w:lang w:val="en-US"/>
        </w:rPr>
        <w:t xml:space="preserve"> “V” is the Liberals, “A” is the Social Democrats, “O” is the Danish People’s Party, “</w:t>
      </w:r>
      <w:r w:rsidR="0015141F">
        <w:rPr>
          <w:rFonts w:ascii="Times New Roman" w:hAnsi="Times New Roman" w:cs="Times New Roman"/>
          <w:lang w:val="en-US"/>
        </w:rPr>
        <w:t>Ø” is the Red-Green Alliance, “</w:t>
      </w:r>
      <w:r w:rsidR="00ED2140">
        <w:rPr>
          <w:rFonts w:ascii="Times New Roman" w:hAnsi="Times New Roman" w:cs="Times New Roman"/>
          <w:lang w:val="en-US"/>
        </w:rPr>
        <w:t>F” is the Socialist People’s Party, and “B” is the Social Liberals.</w:t>
      </w:r>
    </w:p>
    <w:p w14:paraId="2B94A022" w14:textId="77777777" w:rsidR="0041418E" w:rsidRPr="00F53BB4" w:rsidRDefault="0041418E" w:rsidP="0041418E">
      <w:pPr>
        <w:keepNext/>
        <w:keepLines/>
        <w:spacing w:line="276" w:lineRule="auto"/>
        <w:rPr>
          <w:rFonts w:ascii="Times New Roman" w:hAnsi="Times New Roman" w:cs="Times New Roman"/>
          <w:lang w:val="en-US"/>
        </w:rPr>
      </w:pPr>
    </w:p>
    <w:p w14:paraId="135F968E" w14:textId="51155261" w:rsidR="00FA541F" w:rsidRPr="002B197F" w:rsidRDefault="00351E3E" w:rsidP="002B197F">
      <w:pPr>
        <w:pStyle w:val="Listeafsnit"/>
        <w:keepNext/>
        <w:keepLines/>
        <w:numPr>
          <w:ilvl w:val="0"/>
          <w:numId w:val="42"/>
        </w:numPr>
        <w:spacing w:line="360" w:lineRule="auto"/>
        <w:jc w:val="both"/>
        <w:rPr>
          <w:rFonts w:ascii="Times New Roman" w:hAnsi="Times New Roman" w:cs="Times New Roman"/>
          <w:lang w:val="en-US"/>
        </w:rPr>
      </w:pPr>
      <w:r w:rsidRPr="002B197F">
        <w:rPr>
          <w:rFonts w:ascii="Times New Roman" w:hAnsi="Times New Roman" w:cs="Times New Roman"/>
          <w:b/>
          <w:lang w:val="en-US"/>
        </w:rPr>
        <w:t>Voting behavior in the 2019 EP election</w:t>
      </w:r>
    </w:p>
    <w:p w14:paraId="4302C1A2" w14:textId="77777777" w:rsidR="000D7C97" w:rsidRPr="00F53BB4" w:rsidRDefault="000D7C97" w:rsidP="000D7C97">
      <w:pPr>
        <w:pStyle w:val="Listeafsnit"/>
        <w:keepNext/>
        <w:keepLines/>
        <w:spacing w:line="360" w:lineRule="auto"/>
        <w:jc w:val="both"/>
        <w:rPr>
          <w:rFonts w:ascii="Times New Roman" w:hAnsi="Times New Roman" w:cs="Times New Roman"/>
          <w:lang w:val="en-US"/>
        </w:rPr>
      </w:pPr>
    </w:p>
    <w:p w14:paraId="25D317BE" w14:textId="7D406E51" w:rsidR="009B6B0E" w:rsidRDefault="00555558" w:rsidP="002B2956">
      <w:pPr>
        <w:keepNext/>
        <w:keepLines/>
        <w:spacing w:line="360" w:lineRule="auto"/>
        <w:jc w:val="both"/>
        <w:rPr>
          <w:rFonts w:ascii="Times New Roman" w:hAnsi="Times New Roman" w:cs="Times New Roman"/>
          <w:lang w:val="en-US"/>
        </w:rPr>
      </w:pPr>
      <w:r w:rsidRPr="00F53BB4">
        <w:rPr>
          <w:rFonts w:ascii="Times New Roman" w:hAnsi="Times New Roman" w:cs="Times New Roman"/>
          <w:lang w:val="en-US"/>
        </w:rPr>
        <w:t xml:space="preserve">Moving to the results of the 2019 European Parliament election in Denmark held on May 26, Table 1 presents the votes received by each of the competing parties, as well as comparative information in relation to the 2019 Danish general </w:t>
      </w:r>
      <w:r w:rsidR="00FF11E5" w:rsidRPr="00F53BB4">
        <w:rPr>
          <w:rFonts w:ascii="Times New Roman" w:hAnsi="Times New Roman" w:cs="Times New Roman"/>
          <w:lang w:val="en-US"/>
        </w:rPr>
        <w:t>election, which took place on</w:t>
      </w:r>
      <w:r w:rsidRPr="00F53BB4">
        <w:rPr>
          <w:rFonts w:ascii="Times New Roman" w:hAnsi="Times New Roman" w:cs="Times New Roman"/>
          <w:lang w:val="en-US"/>
        </w:rPr>
        <w:t xml:space="preserve"> June 5 (i.e. 10 da</w:t>
      </w:r>
      <w:r w:rsidR="00F66ED4" w:rsidRPr="00F53BB4">
        <w:rPr>
          <w:rFonts w:ascii="Times New Roman" w:hAnsi="Times New Roman" w:cs="Times New Roman"/>
          <w:lang w:val="en-US"/>
        </w:rPr>
        <w:t xml:space="preserve">ys </w:t>
      </w:r>
      <w:r w:rsidR="00FF11E5" w:rsidRPr="00F53BB4">
        <w:rPr>
          <w:rFonts w:ascii="Times New Roman" w:hAnsi="Times New Roman" w:cs="Times New Roman"/>
          <w:lang w:val="en-US"/>
        </w:rPr>
        <w:t>afterwards</w:t>
      </w:r>
      <w:r w:rsidRPr="00F53BB4">
        <w:rPr>
          <w:rFonts w:ascii="Times New Roman" w:hAnsi="Times New Roman" w:cs="Times New Roman"/>
          <w:lang w:val="en-US"/>
        </w:rPr>
        <w:t>)</w:t>
      </w:r>
      <w:r w:rsidR="00FF11E5" w:rsidRPr="00F53BB4">
        <w:rPr>
          <w:rFonts w:ascii="Times New Roman" w:hAnsi="Times New Roman" w:cs="Times New Roman"/>
          <w:lang w:val="en-US"/>
        </w:rPr>
        <w:t>,</w:t>
      </w:r>
      <w:r w:rsidRPr="00F53BB4">
        <w:rPr>
          <w:rFonts w:ascii="Times New Roman" w:hAnsi="Times New Roman" w:cs="Times New Roman"/>
          <w:lang w:val="en-US"/>
        </w:rPr>
        <w:t xml:space="preserve"> and the 2014 EP election.</w:t>
      </w:r>
      <w:r w:rsidR="00FF11E5" w:rsidRPr="00F53BB4">
        <w:rPr>
          <w:rFonts w:ascii="Times New Roman" w:hAnsi="Times New Roman" w:cs="Times New Roman"/>
          <w:lang w:val="en-US"/>
        </w:rPr>
        <w:t xml:space="preserve"> The election resulted in a </w:t>
      </w:r>
      <w:r w:rsidR="008F3D19">
        <w:rPr>
          <w:rFonts w:ascii="Times New Roman" w:hAnsi="Times New Roman" w:cs="Times New Roman"/>
          <w:lang w:val="en-US"/>
        </w:rPr>
        <w:t>large</w:t>
      </w:r>
      <w:r w:rsidR="00FF11E5" w:rsidRPr="00F53BB4">
        <w:rPr>
          <w:rFonts w:ascii="Times New Roman" w:hAnsi="Times New Roman" w:cs="Times New Roman"/>
          <w:lang w:val="en-US"/>
        </w:rPr>
        <w:t xml:space="preserve"> victory for both the </w:t>
      </w:r>
      <w:r w:rsidR="001B70C2">
        <w:rPr>
          <w:rFonts w:ascii="Times New Roman" w:hAnsi="Times New Roman" w:cs="Times New Roman"/>
          <w:lang w:val="en-US"/>
        </w:rPr>
        <w:t>major parties</w:t>
      </w:r>
      <w:r w:rsidR="00FF11E5" w:rsidRPr="00F53BB4">
        <w:rPr>
          <w:rFonts w:ascii="Times New Roman" w:hAnsi="Times New Roman" w:cs="Times New Roman"/>
          <w:lang w:val="en-US"/>
        </w:rPr>
        <w:t xml:space="preserve"> of the left and right, the Social Democrats and </w:t>
      </w:r>
      <w:proofErr w:type="spellStart"/>
      <w:r w:rsidR="00FF11E5" w:rsidRPr="00F53BB4">
        <w:rPr>
          <w:rFonts w:ascii="Times New Roman" w:hAnsi="Times New Roman" w:cs="Times New Roman"/>
          <w:lang w:val="en-US"/>
        </w:rPr>
        <w:t>Venstre</w:t>
      </w:r>
      <w:proofErr w:type="spellEnd"/>
      <w:r w:rsidR="00FF11E5" w:rsidRPr="00F53BB4">
        <w:rPr>
          <w:rFonts w:ascii="Times New Roman" w:hAnsi="Times New Roman" w:cs="Times New Roman"/>
          <w:lang w:val="en-US"/>
        </w:rPr>
        <w:t xml:space="preserve">, which won 21.5% and 23.5% of the vote respectively (each winning 3 seats in the next </w:t>
      </w:r>
      <w:r w:rsidR="008F3D19">
        <w:rPr>
          <w:rFonts w:ascii="Times New Roman" w:hAnsi="Times New Roman" w:cs="Times New Roman"/>
          <w:lang w:val="en-US"/>
        </w:rPr>
        <w:t>European Parliament</w:t>
      </w:r>
      <w:r w:rsidR="00FF11E5" w:rsidRPr="00F53BB4">
        <w:rPr>
          <w:rFonts w:ascii="Times New Roman" w:hAnsi="Times New Roman" w:cs="Times New Roman"/>
          <w:lang w:val="en-US"/>
        </w:rPr>
        <w:t>)</w:t>
      </w:r>
      <w:r w:rsidR="001B70C2">
        <w:rPr>
          <w:rFonts w:ascii="Times New Roman" w:hAnsi="Times New Roman" w:cs="Times New Roman"/>
          <w:lang w:val="en-US"/>
        </w:rPr>
        <w:t>. Both</w:t>
      </w:r>
      <w:r w:rsidR="00FF11E5" w:rsidRPr="00F53BB4">
        <w:rPr>
          <w:rFonts w:ascii="Times New Roman" w:hAnsi="Times New Roman" w:cs="Times New Roman"/>
          <w:lang w:val="en-US"/>
        </w:rPr>
        <w:t xml:space="preserve"> easily </w:t>
      </w:r>
      <w:r w:rsidR="001B70C2" w:rsidRPr="00F53BB4">
        <w:rPr>
          <w:rFonts w:ascii="Times New Roman" w:hAnsi="Times New Roman" w:cs="Times New Roman"/>
          <w:lang w:val="en-US"/>
        </w:rPr>
        <w:t>eclips</w:t>
      </w:r>
      <w:r w:rsidR="001B70C2">
        <w:rPr>
          <w:rFonts w:ascii="Times New Roman" w:hAnsi="Times New Roman" w:cs="Times New Roman"/>
          <w:lang w:val="en-US"/>
        </w:rPr>
        <w:t>ed</w:t>
      </w:r>
      <w:r w:rsidR="001B70C2" w:rsidRPr="00F53BB4">
        <w:rPr>
          <w:rFonts w:ascii="Times New Roman" w:hAnsi="Times New Roman" w:cs="Times New Roman"/>
          <w:lang w:val="en-US"/>
        </w:rPr>
        <w:t xml:space="preserve"> </w:t>
      </w:r>
      <w:r w:rsidR="00FF11E5" w:rsidRPr="00F53BB4">
        <w:rPr>
          <w:rFonts w:ascii="Times New Roman" w:hAnsi="Times New Roman" w:cs="Times New Roman"/>
          <w:lang w:val="en-US"/>
        </w:rPr>
        <w:t xml:space="preserve">the </w:t>
      </w:r>
      <w:r w:rsidR="001B70C2">
        <w:rPr>
          <w:rFonts w:ascii="Times New Roman" w:hAnsi="Times New Roman" w:cs="Times New Roman"/>
          <w:lang w:val="en-US"/>
        </w:rPr>
        <w:t>party winning the third largest number of votes</w:t>
      </w:r>
      <w:r w:rsidR="00FF11E5" w:rsidRPr="00F53BB4">
        <w:rPr>
          <w:rFonts w:ascii="Times New Roman" w:hAnsi="Times New Roman" w:cs="Times New Roman"/>
          <w:lang w:val="en-US"/>
        </w:rPr>
        <w:t>, the Socialist People’</w:t>
      </w:r>
      <w:r w:rsidR="00947333" w:rsidRPr="00F53BB4">
        <w:rPr>
          <w:rFonts w:ascii="Times New Roman" w:hAnsi="Times New Roman" w:cs="Times New Roman"/>
          <w:lang w:val="en-US"/>
        </w:rPr>
        <w:t>s Party</w:t>
      </w:r>
      <w:r w:rsidR="00FF11E5" w:rsidRPr="00F53BB4">
        <w:rPr>
          <w:rFonts w:ascii="Times New Roman" w:hAnsi="Times New Roman" w:cs="Times New Roman"/>
          <w:lang w:val="en-US"/>
        </w:rPr>
        <w:t xml:space="preserve">, which received 13.2% of votes (winning two seats). Besides this, a major feature of the election was a collapse in the vote for the far-right, anti-immigration </w:t>
      </w:r>
      <w:r w:rsidR="00947333" w:rsidRPr="00F53BB4">
        <w:rPr>
          <w:rFonts w:ascii="Times New Roman" w:hAnsi="Times New Roman" w:cs="Times New Roman"/>
          <w:lang w:val="en-US"/>
        </w:rPr>
        <w:t>Danish People’s Party</w:t>
      </w:r>
      <w:r w:rsidR="008F3D19">
        <w:rPr>
          <w:rFonts w:ascii="Times New Roman" w:hAnsi="Times New Roman" w:cs="Times New Roman"/>
          <w:lang w:val="en-US"/>
        </w:rPr>
        <w:t>: i</w:t>
      </w:r>
      <w:r w:rsidR="001B70C2">
        <w:rPr>
          <w:rFonts w:ascii="Times New Roman" w:hAnsi="Times New Roman" w:cs="Times New Roman"/>
          <w:lang w:val="en-US"/>
        </w:rPr>
        <w:t>ts 10.8% vote share was</w:t>
      </w:r>
      <w:r w:rsidR="00947333" w:rsidRPr="00F53BB4">
        <w:rPr>
          <w:rFonts w:ascii="Times New Roman" w:hAnsi="Times New Roman" w:cs="Times New Roman"/>
          <w:lang w:val="en-US"/>
        </w:rPr>
        <w:t xml:space="preserve"> </w:t>
      </w:r>
      <w:r w:rsidR="008F3D19">
        <w:rPr>
          <w:rFonts w:ascii="Times New Roman" w:hAnsi="Times New Roman" w:cs="Times New Roman"/>
          <w:lang w:val="en-US"/>
        </w:rPr>
        <w:t>almost 16 percentage points</w:t>
      </w:r>
      <w:r w:rsidR="00947333" w:rsidRPr="00F53BB4">
        <w:rPr>
          <w:rFonts w:ascii="Times New Roman" w:hAnsi="Times New Roman" w:cs="Times New Roman"/>
          <w:lang w:val="en-US"/>
        </w:rPr>
        <w:t xml:space="preserve"> </w:t>
      </w:r>
      <w:r w:rsidR="001B70C2">
        <w:rPr>
          <w:rFonts w:ascii="Times New Roman" w:hAnsi="Times New Roman" w:cs="Times New Roman"/>
          <w:lang w:val="en-US"/>
        </w:rPr>
        <w:t>down on 2014</w:t>
      </w:r>
      <w:r w:rsidR="00947333" w:rsidRPr="00F53BB4">
        <w:rPr>
          <w:rFonts w:ascii="Times New Roman" w:hAnsi="Times New Roman" w:cs="Times New Roman"/>
          <w:lang w:val="en-US"/>
        </w:rPr>
        <w:t xml:space="preserve">, and </w:t>
      </w:r>
      <w:r w:rsidR="001B70C2">
        <w:rPr>
          <w:rFonts w:ascii="Times New Roman" w:hAnsi="Times New Roman" w:cs="Times New Roman"/>
          <w:lang w:val="en-US"/>
        </w:rPr>
        <w:t>the party is</w:t>
      </w:r>
      <w:r w:rsidR="00947333" w:rsidRPr="00F53BB4">
        <w:rPr>
          <w:rFonts w:ascii="Times New Roman" w:hAnsi="Times New Roman" w:cs="Times New Roman"/>
          <w:lang w:val="en-US"/>
        </w:rPr>
        <w:t xml:space="preserve"> set to lose </w:t>
      </w:r>
      <w:r w:rsidR="008A244D">
        <w:rPr>
          <w:rFonts w:ascii="Times New Roman" w:hAnsi="Times New Roman" w:cs="Times New Roman"/>
          <w:lang w:val="en-US"/>
        </w:rPr>
        <w:t>three</w:t>
      </w:r>
      <w:r w:rsidR="008A244D" w:rsidRPr="00F53BB4">
        <w:rPr>
          <w:rFonts w:ascii="Times New Roman" w:hAnsi="Times New Roman" w:cs="Times New Roman"/>
          <w:lang w:val="en-US"/>
        </w:rPr>
        <w:t xml:space="preserve"> </w:t>
      </w:r>
      <w:r w:rsidR="00947333" w:rsidRPr="00F53BB4">
        <w:rPr>
          <w:rFonts w:ascii="Times New Roman" w:hAnsi="Times New Roman" w:cs="Times New Roman"/>
          <w:lang w:val="en-US"/>
        </w:rPr>
        <w:t xml:space="preserve">of its </w:t>
      </w:r>
      <w:r w:rsidR="008A244D">
        <w:rPr>
          <w:rFonts w:ascii="Times New Roman" w:hAnsi="Times New Roman" w:cs="Times New Roman"/>
          <w:lang w:val="en-US"/>
        </w:rPr>
        <w:t xml:space="preserve">four </w:t>
      </w:r>
      <w:r w:rsidR="00947333" w:rsidRPr="00F53BB4">
        <w:rPr>
          <w:rFonts w:ascii="Times New Roman" w:hAnsi="Times New Roman" w:cs="Times New Roman"/>
          <w:lang w:val="en-US"/>
        </w:rPr>
        <w:t>seats in the Parliament.</w:t>
      </w:r>
      <w:r w:rsidR="003B2C5B" w:rsidRPr="00F53BB4">
        <w:rPr>
          <w:rFonts w:ascii="Times New Roman" w:hAnsi="Times New Roman" w:cs="Times New Roman"/>
          <w:lang w:val="en-US"/>
        </w:rPr>
        <w:t xml:space="preserve"> This implosion can partly be ascribed to the fact that their previous top-candidate, Morten </w:t>
      </w:r>
      <w:proofErr w:type="spellStart"/>
      <w:r w:rsidR="003B2C5B" w:rsidRPr="00F53BB4">
        <w:rPr>
          <w:rFonts w:ascii="Times New Roman" w:hAnsi="Times New Roman" w:cs="Times New Roman"/>
          <w:lang w:val="en-US"/>
        </w:rPr>
        <w:t>Messerschmidt</w:t>
      </w:r>
      <w:proofErr w:type="spellEnd"/>
      <w:r w:rsidR="003B2C5B" w:rsidRPr="00F53BB4">
        <w:rPr>
          <w:rFonts w:ascii="Times New Roman" w:hAnsi="Times New Roman" w:cs="Times New Roman"/>
          <w:lang w:val="en-US"/>
        </w:rPr>
        <w:t>, who received a whopping 400,000 personal votes in the 2014</w:t>
      </w:r>
      <w:r w:rsidR="00947333" w:rsidRPr="00F53BB4">
        <w:rPr>
          <w:rFonts w:ascii="Times New Roman" w:hAnsi="Times New Roman" w:cs="Times New Roman"/>
          <w:lang w:val="en-US"/>
        </w:rPr>
        <w:t xml:space="preserve"> </w:t>
      </w:r>
      <w:r w:rsidR="003B2C5B" w:rsidRPr="00F53BB4">
        <w:rPr>
          <w:rFonts w:ascii="Times New Roman" w:hAnsi="Times New Roman" w:cs="Times New Roman"/>
          <w:lang w:val="en-US"/>
        </w:rPr>
        <w:t>EP Election</w:t>
      </w:r>
      <w:r w:rsidR="001A2124">
        <w:rPr>
          <w:rFonts w:ascii="Times New Roman" w:hAnsi="Times New Roman" w:cs="Times New Roman"/>
          <w:lang w:val="en-US"/>
        </w:rPr>
        <w:t>,</w:t>
      </w:r>
      <w:r w:rsidR="003B2C5B" w:rsidRPr="00F53BB4">
        <w:rPr>
          <w:rFonts w:ascii="Times New Roman" w:hAnsi="Times New Roman" w:cs="Times New Roman"/>
          <w:lang w:val="en-US"/>
        </w:rPr>
        <w:t xml:space="preserve"> did </w:t>
      </w:r>
      <w:r w:rsidR="00C441E1" w:rsidRPr="00F53BB4">
        <w:rPr>
          <w:rFonts w:ascii="Times New Roman" w:hAnsi="Times New Roman" w:cs="Times New Roman"/>
          <w:lang w:val="en-US"/>
        </w:rPr>
        <w:t xml:space="preserve">not run for </w:t>
      </w:r>
      <w:r w:rsidR="001B70C2">
        <w:rPr>
          <w:rFonts w:ascii="Times New Roman" w:hAnsi="Times New Roman" w:cs="Times New Roman"/>
          <w:lang w:val="en-US"/>
        </w:rPr>
        <w:t>election this</w:t>
      </w:r>
      <w:r w:rsidR="001B70C2" w:rsidRPr="00F53BB4">
        <w:rPr>
          <w:rFonts w:ascii="Times New Roman" w:hAnsi="Times New Roman" w:cs="Times New Roman"/>
          <w:lang w:val="en-US"/>
        </w:rPr>
        <w:t xml:space="preserve"> </w:t>
      </w:r>
      <w:r w:rsidR="00C441E1" w:rsidRPr="00F53BB4">
        <w:rPr>
          <w:rFonts w:ascii="Times New Roman" w:hAnsi="Times New Roman" w:cs="Times New Roman"/>
          <w:lang w:val="en-US"/>
        </w:rPr>
        <w:t>time</w:t>
      </w:r>
      <w:r w:rsidR="001B70C2">
        <w:rPr>
          <w:rFonts w:ascii="Times New Roman" w:hAnsi="Times New Roman" w:cs="Times New Roman"/>
          <w:lang w:val="en-US"/>
        </w:rPr>
        <w:t>; it can also in part be ascribed</w:t>
      </w:r>
      <w:r w:rsidR="00C441E1" w:rsidRPr="00F53BB4">
        <w:rPr>
          <w:rFonts w:ascii="Times New Roman" w:hAnsi="Times New Roman" w:cs="Times New Roman"/>
          <w:lang w:val="en-US"/>
        </w:rPr>
        <w:t xml:space="preserve"> to the change in </w:t>
      </w:r>
      <w:r w:rsidR="001B70C2">
        <w:rPr>
          <w:rFonts w:ascii="Times New Roman" w:hAnsi="Times New Roman" w:cs="Times New Roman"/>
          <w:lang w:val="en-US"/>
        </w:rPr>
        <w:t>party leadership</w:t>
      </w:r>
      <w:r w:rsidR="00C441E1" w:rsidRPr="00F53BB4">
        <w:rPr>
          <w:rFonts w:ascii="Times New Roman" w:hAnsi="Times New Roman" w:cs="Times New Roman"/>
          <w:lang w:val="en-US"/>
        </w:rPr>
        <w:t>, w</w:t>
      </w:r>
      <w:r w:rsidR="004C2307">
        <w:rPr>
          <w:rFonts w:ascii="Times New Roman" w:hAnsi="Times New Roman" w:cs="Times New Roman"/>
          <w:lang w:val="en-US"/>
        </w:rPr>
        <w:t>ith</w:t>
      </w:r>
      <w:r w:rsidR="00C441E1" w:rsidRPr="00F53BB4">
        <w:rPr>
          <w:rFonts w:ascii="Times New Roman" w:hAnsi="Times New Roman" w:cs="Times New Roman"/>
          <w:lang w:val="en-US"/>
        </w:rPr>
        <w:t xml:space="preserve"> the hugely popular Pia </w:t>
      </w:r>
      <w:proofErr w:type="spellStart"/>
      <w:r w:rsidR="00C441E1" w:rsidRPr="00F53BB4">
        <w:rPr>
          <w:rFonts w:ascii="Times New Roman" w:hAnsi="Times New Roman" w:cs="Times New Roman"/>
          <w:lang w:val="en-US"/>
        </w:rPr>
        <w:t>Kjærsgaard</w:t>
      </w:r>
      <w:proofErr w:type="spellEnd"/>
      <w:r w:rsidR="000348E4" w:rsidRPr="00F53BB4">
        <w:rPr>
          <w:rFonts w:ascii="Times New Roman" w:hAnsi="Times New Roman" w:cs="Times New Roman"/>
          <w:lang w:val="en-US"/>
        </w:rPr>
        <w:t>,</w:t>
      </w:r>
      <w:r w:rsidR="00C441E1" w:rsidRPr="00F53BB4">
        <w:rPr>
          <w:rFonts w:ascii="Times New Roman" w:hAnsi="Times New Roman" w:cs="Times New Roman"/>
          <w:lang w:val="en-US"/>
        </w:rPr>
        <w:t xml:space="preserve"> who established the party in 1995, stepp</w:t>
      </w:r>
      <w:r w:rsidR="004C2307">
        <w:rPr>
          <w:rFonts w:ascii="Times New Roman" w:hAnsi="Times New Roman" w:cs="Times New Roman"/>
          <w:lang w:val="en-US"/>
        </w:rPr>
        <w:t>ing</w:t>
      </w:r>
      <w:r w:rsidR="00C441E1" w:rsidRPr="00F53BB4">
        <w:rPr>
          <w:rFonts w:ascii="Times New Roman" w:hAnsi="Times New Roman" w:cs="Times New Roman"/>
          <w:lang w:val="en-US"/>
        </w:rPr>
        <w:t xml:space="preserve"> down</w:t>
      </w:r>
      <w:r w:rsidR="000348E4" w:rsidRPr="00F53BB4">
        <w:rPr>
          <w:rFonts w:ascii="Times New Roman" w:hAnsi="Times New Roman" w:cs="Times New Roman"/>
          <w:lang w:val="en-US"/>
        </w:rPr>
        <w:t xml:space="preserve"> in 2012 and effectively </w:t>
      </w:r>
      <w:r w:rsidR="004C2307">
        <w:rPr>
          <w:rFonts w:ascii="Times New Roman" w:hAnsi="Times New Roman" w:cs="Times New Roman"/>
          <w:lang w:val="en-US"/>
        </w:rPr>
        <w:t>ruling herself out of a return to</w:t>
      </w:r>
      <w:r w:rsidR="000348E4" w:rsidRPr="00F53BB4">
        <w:rPr>
          <w:rFonts w:ascii="Times New Roman" w:hAnsi="Times New Roman" w:cs="Times New Roman"/>
          <w:lang w:val="en-US"/>
        </w:rPr>
        <w:t xml:space="preserve"> leadership when she was</w:t>
      </w:r>
      <w:r w:rsidR="00BC0D2A" w:rsidRPr="00F53BB4">
        <w:rPr>
          <w:rFonts w:ascii="Times New Roman" w:hAnsi="Times New Roman" w:cs="Times New Roman"/>
          <w:lang w:val="en-US"/>
        </w:rPr>
        <w:t xml:space="preserve"> </w:t>
      </w:r>
      <w:r w:rsidR="000348E4" w:rsidRPr="00F53BB4">
        <w:rPr>
          <w:rFonts w:ascii="Times New Roman" w:hAnsi="Times New Roman" w:cs="Times New Roman"/>
          <w:lang w:val="en-US"/>
        </w:rPr>
        <w:t xml:space="preserve">appointed </w:t>
      </w:r>
      <w:r w:rsidR="00BC0D2A" w:rsidRPr="00F53BB4">
        <w:rPr>
          <w:rFonts w:ascii="Times New Roman" w:hAnsi="Times New Roman" w:cs="Times New Roman"/>
          <w:lang w:val="en-US"/>
        </w:rPr>
        <w:t>Speaker</w:t>
      </w:r>
      <w:r w:rsidR="000348E4" w:rsidRPr="00F53BB4">
        <w:rPr>
          <w:rFonts w:ascii="Times New Roman" w:hAnsi="Times New Roman" w:cs="Times New Roman"/>
          <w:lang w:val="en-US"/>
        </w:rPr>
        <w:t xml:space="preserve"> of </w:t>
      </w:r>
      <w:r w:rsidR="00BC0D2A" w:rsidRPr="00F53BB4">
        <w:rPr>
          <w:rFonts w:ascii="Times New Roman" w:hAnsi="Times New Roman" w:cs="Times New Roman"/>
          <w:lang w:val="en-US"/>
        </w:rPr>
        <w:t xml:space="preserve">the Danish </w:t>
      </w:r>
      <w:r w:rsidR="00BC0D2A" w:rsidRPr="00F53BB4">
        <w:rPr>
          <w:rFonts w:ascii="Times New Roman" w:hAnsi="Times New Roman" w:cs="Times New Roman"/>
          <w:i/>
          <w:lang w:val="en-US"/>
        </w:rPr>
        <w:t>Folketing</w:t>
      </w:r>
      <w:r w:rsidR="000348E4" w:rsidRPr="00F53BB4">
        <w:rPr>
          <w:rFonts w:ascii="Times New Roman" w:hAnsi="Times New Roman" w:cs="Times New Roman"/>
          <w:lang w:val="en-US"/>
        </w:rPr>
        <w:t xml:space="preserve"> </w:t>
      </w:r>
      <w:r w:rsidR="00BC0D2A" w:rsidRPr="00F53BB4">
        <w:rPr>
          <w:rFonts w:ascii="Times New Roman" w:hAnsi="Times New Roman" w:cs="Times New Roman"/>
          <w:lang w:val="en-US"/>
        </w:rPr>
        <w:t>after the 2015 National Election</w:t>
      </w:r>
      <w:r w:rsidR="00C441E1" w:rsidRPr="00F53BB4">
        <w:rPr>
          <w:rFonts w:ascii="Times New Roman" w:hAnsi="Times New Roman" w:cs="Times New Roman"/>
          <w:lang w:val="en-US"/>
        </w:rPr>
        <w:t xml:space="preserve">. </w:t>
      </w:r>
      <w:r w:rsidR="00947333" w:rsidRPr="00F53BB4">
        <w:rPr>
          <w:rFonts w:ascii="Times New Roman" w:hAnsi="Times New Roman" w:cs="Times New Roman"/>
          <w:lang w:val="en-US"/>
        </w:rPr>
        <w:t xml:space="preserve">The upswing in the vote share for </w:t>
      </w:r>
      <w:proofErr w:type="spellStart"/>
      <w:r w:rsidR="00947333" w:rsidRPr="00F53BB4">
        <w:rPr>
          <w:rFonts w:ascii="Times New Roman" w:hAnsi="Times New Roman" w:cs="Times New Roman"/>
          <w:lang w:val="en-US"/>
        </w:rPr>
        <w:t>Venstre</w:t>
      </w:r>
      <w:proofErr w:type="spellEnd"/>
      <w:r w:rsidR="00947333" w:rsidRPr="00F53BB4">
        <w:rPr>
          <w:rFonts w:ascii="Times New Roman" w:hAnsi="Times New Roman" w:cs="Times New Roman"/>
          <w:lang w:val="en-US"/>
        </w:rPr>
        <w:t>, the Social Democrats, the Socialist People's Party and the Social Liberal</w:t>
      </w:r>
      <w:r w:rsidR="0015141F">
        <w:rPr>
          <w:rFonts w:ascii="Times New Roman" w:hAnsi="Times New Roman" w:cs="Times New Roman"/>
          <w:lang w:val="en-US"/>
        </w:rPr>
        <w:t>s</w:t>
      </w:r>
      <w:r w:rsidR="00947333" w:rsidRPr="00F53BB4">
        <w:rPr>
          <w:rFonts w:ascii="Times New Roman" w:hAnsi="Times New Roman" w:cs="Times New Roman"/>
          <w:lang w:val="en-US"/>
        </w:rPr>
        <w:t xml:space="preserve"> over 2014 suggests that these parties profited </w:t>
      </w:r>
      <w:r w:rsidR="004C2307">
        <w:rPr>
          <w:rFonts w:ascii="Times New Roman" w:hAnsi="Times New Roman" w:cs="Times New Roman"/>
          <w:lang w:val="en-US"/>
        </w:rPr>
        <w:t xml:space="preserve">the </w:t>
      </w:r>
      <w:r w:rsidR="00947333" w:rsidRPr="00F53BB4">
        <w:rPr>
          <w:rFonts w:ascii="Times New Roman" w:hAnsi="Times New Roman" w:cs="Times New Roman"/>
          <w:lang w:val="en-US"/>
        </w:rPr>
        <w:t>most from this collapse.</w:t>
      </w:r>
      <w:r w:rsidR="009B6B0E" w:rsidRPr="00F53BB4">
        <w:rPr>
          <w:rFonts w:ascii="Times New Roman" w:hAnsi="Times New Roman" w:cs="Times New Roman"/>
          <w:lang w:val="en-US"/>
        </w:rPr>
        <w:t xml:space="preserve"> </w:t>
      </w:r>
      <w:r w:rsidR="00434259" w:rsidRPr="00F53BB4">
        <w:rPr>
          <w:rFonts w:ascii="Times New Roman" w:hAnsi="Times New Roman" w:cs="Times New Roman"/>
          <w:lang w:val="en-US"/>
        </w:rPr>
        <w:t xml:space="preserve">At the same time, the People's Movement </w:t>
      </w:r>
      <w:proofErr w:type="gramStart"/>
      <w:r w:rsidR="00A92160">
        <w:rPr>
          <w:rFonts w:ascii="Times New Roman" w:hAnsi="Times New Roman" w:cs="Times New Roman"/>
          <w:lang w:val="en-US"/>
        </w:rPr>
        <w:t>A</w:t>
      </w:r>
      <w:r w:rsidR="00434259" w:rsidRPr="00F53BB4">
        <w:rPr>
          <w:rFonts w:ascii="Times New Roman" w:hAnsi="Times New Roman" w:cs="Times New Roman"/>
          <w:lang w:val="en-US"/>
        </w:rPr>
        <w:t>gainst</w:t>
      </w:r>
      <w:proofErr w:type="gramEnd"/>
      <w:r w:rsidR="00434259" w:rsidRPr="00F53BB4">
        <w:rPr>
          <w:rFonts w:ascii="Times New Roman" w:hAnsi="Times New Roman" w:cs="Times New Roman"/>
          <w:lang w:val="en-US"/>
        </w:rPr>
        <w:t xml:space="preserve"> the EU </w:t>
      </w:r>
      <w:r w:rsidR="006B7371" w:rsidRPr="00F53BB4">
        <w:rPr>
          <w:rFonts w:ascii="Times New Roman" w:hAnsi="Times New Roman" w:cs="Times New Roman"/>
          <w:lang w:val="en-US"/>
        </w:rPr>
        <w:t>(which do</w:t>
      </w:r>
      <w:r w:rsidR="004C2307">
        <w:rPr>
          <w:rFonts w:ascii="Times New Roman" w:hAnsi="Times New Roman" w:cs="Times New Roman"/>
          <w:lang w:val="en-US"/>
        </w:rPr>
        <w:t>es</w:t>
      </w:r>
      <w:r w:rsidR="006B7371" w:rsidRPr="00F53BB4">
        <w:rPr>
          <w:rFonts w:ascii="Times New Roman" w:hAnsi="Times New Roman" w:cs="Times New Roman"/>
          <w:lang w:val="en-US"/>
        </w:rPr>
        <w:t xml:space="preserve"> not run for national election) </w:t>
      </w:r>
      <w:r w:rsidR="00434259" w:rsidRPr="00F53BB4">
        <w:rPr>
          <w:rFonts w:ascii="Times New Roman" w:hAnsi="Times New Roman" w:cs="Times New Roman"/>
          <w:lang w:val="en-US"/>
        </w:rPr>
        <w:t xml:space="preserve">received </w:t>
      </w:r>
      <w:r w:rsidR="004C2307">
        <w:rPr>
          <w:rFonts w:ascii="Times New Roman" w:hAnsi="Times New Roman" w:cs="Times New Roman"/>
          <w:lang w:val="en-US"/>
        </w:rPr>
        <w:t>3.7</w:t>
      </w:r>
      <w:r w:rsidR="00434259" w:rsidRPr="00F53BB4">
        <w:rPr>
          <w:rFonts w:ascii="Times New Roman" w:hAnsi="Times New Roman" w:cs="Times New Roman"/>
          <w:lang w:val="en-US"/>
        </w:rPr>
        <w:t>% of the vote, a drop in vote share of 4</w:t>
      </w:r>
      <w:r w:rsidR="004C2307">
        <w:rPr>
          <w:rFonts w:ascii="Times New Roman" w:hAnsi="Times New Roman" w:cs="Times New Roman"/>
          <w:lang w:val="en-US"/>
        </w:rPr>
        <w:t>.4</w:t>
      </w:r>
      <w:r w:rsidR="00434259" w:rsidRPr="00F53BB4">
        <w:rPr>
          <w:rFonts w:ascii="Times New Roman" w:hAnsi="Times New Roman" w:cs="Times New Roman"/>
          <w:lang w:val="en-US"/>
        </w:rPr>
        <w:t xml:space="preserve">% over 2014. The poor performance of both the Danish Peoples’ Party and </w:t>
      </w:r>
      <w:r w:rsidR="0015141F">
        <w:rPr>
          <w:rFonts w:ascii="Times New Roman" w:hAnsi="Times New Roman" w:cs="Times New Roman"/>
          <w:lang w:val="en-US"/>
        </w:rPr>
        <w:t xml:space="preserve">the </w:t>
      </w:r>
      <w:r w:rsidR="00434259" w:rsidRPr="00F53BB4">
        <w:rPr>
          <w:rFonts w:ascii="Times New Roman" w:hAnsi="Times New Roman" w:cs="Times New Roman"/>
          <w:lang w:val="en-US"/>
        </w:rPr>
        <w:t xml:space="preserve">People's Movement </w:t>
      </w:r>
      <w:proofErr w:type="gramStart"/>
      <w:r w:rsidR="00A92160">
        <w:rPr>
          <w:rFonts w:ascii="Times New Roman" w:hAnsi="Times New Roman" w:cs="Times New Roman"/>
          <w:lang w:val="en-US"/>
        </w:rPr>
        <w:t>A</w:t>
      </w:r>
      <w:r w:rsidR="00434259" w:rsidRPr="00F53BB4">
        <w:rPr>
          <w:rFonts w:ascii="Times New Roman" w:hAnsi="Times New Roman" w:cs="Times New Roman"/>
          <w:lang w:val="en-US"/>
        </w:rPr>
        <w:t>gainst</w:t>
      </w:r>
      <w:proofErr w:type="gramEnd"/>
      <w:r w:rsidR="00434259" w:rsidRPr="00F53BB4">
        <w:rPr>
          <w:rFonts w:ascii="Times New Roman" w:hAnsi="Times New Roman" w:cs="Times New Roman"/>
          <w:lang w:val="en-US"/>
        </w:rPr>
        <w:t xml:space="preserve"> the EU</w:t>
      </w:r>
      <w:r w:rsidR="004C2307">
        <w:rPr>
          <w:rFonts w:ascii="Times New Roman" w:hAnsi="Times New Roman" w:cs="Times New Roman"/>
          <w:lang w:val="en-US"/>
        </w:rPr>
        <w:t>, combined with</w:t>
      </w:r>
      <w:r w:rsidR="00434259" w:rsidRPr="00F53BB4">
        <w:rPr>
          <w:rFonts w:ascii="Times New Roman" w:hAnsi="Times New Roman" w:cs="Times New Roman"/>
          <w:lang w:val="en-US"/>
        </w:rPr>
        <w:t xml:space="preserve"> simultaneous gains</w:t>
      </w:r>
      <w:r w:rsidR="004C2307">
        <w:rPr>
          <w:rFonts w:ascii="Times New Roman" w:hAnsi="Times New Roman" w:cs="Times New Roman"/>
          <w:lang w:val="en-US"/>
        </w:rPr>
        <w:t xml:space="preserve"> made</w:t>
      </w:r>
      <w:r w:rsidR="00434259" w:rsidRPr="00F53BB4">
        <w:rPr>
          <w:rFonts w:ascii="Times New Roman" w:hAnsi="Times New Roman" w:cs="Times New Roman"/>
          <w:lang w:val="en-US"/>
        </w:rPr>
        <w:t xml:space="preserve"> by </w:t>
      </w:r>
      <w:proofErr w:type="spellStart"/>
      <w:r w:rsidR="00434259" w:rsidRPr="00F53BB4">
        <w:rPr>
          <w:rFonts w:ascii="Times New Roman" w:hAnsi="Times New Roman" w:cs="Times New Roman"/>
          <w:lang w:val="en-US"/>
        </w:rPr>
        <w:t>Venstre</w:t>
      </w:r>
      <w:proofErr w:type="spellEnd"/>
      <w:r w:rsidR="00434259" w:rsidRPr="00F53BB4">
        <w:rPr>
          <w:rFonts w:ascii="Times New Roman" w:hAnsi="Times New Roman" w:cs="Times New Roman"/>
          <w:lang w:val="en-US"/>
        </w:rPr>
        <w:t xml:space="preserve"> and the Social Democrats demonstrate that despite much talk of a Eurosceptic breakthrough </w:t>
      </w:r>
      <w:r w:rsidR="004C2307">
        <w:rPr>
          <w:rFonts w:ascii="Times New Roman" w:hAnsi="Times New Roman" w:cs="Times New Roman"/>
          <w:lang w:val="en-US"/>
        </w:rPr>
        <w:t>across Europe in the run-up to the 2019 EP election</w:t>
      </w:r>
      <w:r w:rsidR="00434259" w:rsidRPr="00F53BB4">
        <w:rPr>
          <w:rFonts w:ascii="Times New Roman" w:hAnsi="Times New Roman" w:cs="Times New Roman"/>
          <w:lang w:val="en-US"/>
        </w:rPr>
        <w:t xml:space="preserve">, </w:t>
      </w:r>
      <w:r w:rsidR="004C2307">
        <w:rPr>
          <w:rFonts w:ascii="Times New Roman" w:hAnsi="Times New Roman" w:cs="Times New Roman"/>
          <w:lang w:val="en-US"/>
        </w:rPr>
        <w:t xml:space="preserve">Denmark appears to provide </w:t>
      </w:r>
      <w:r w:rsidR="00FA397E">
        <w:rPr>
          <w:rFonts w:ascii="Times New Roman" w:hAnsi="Times New Roman" w:cs="Times New Roman"/>
          <w:lang w:val="en-US"/>
        </w:rPr>
        <w:t>evidence of this narrative running in reverse.</w:t>
      </w:r>
    </w:p>
    <w:p w14:paraId="2BD52684" w14:textId="77777777" w:rsidR="008F3D19" w:rsidRPr="00F53BB4" w:rsidRDefault="008F3D19" w:rsidP="002B2956">
      <w:pPr>
        <w:keepNext/>
        <w:keepLines/>
        <w:spacing w:line="360" w:lineRule="auto"/>
        <w:jc w:val="both"/>
        <w:rPr>
          <w:rFonts w:ascii="Times New Roman" w:hAnsi="Times New Roman" w:cs="Times New Roman"/>
          <w:lang w:val="en-US"/>
        </w:rPr>
      </w:pPr>
    </w:p>
    <w:p w14:paraId="4E0B6F94" w14:textId="77777777" w:rsidR="002B2956" w:rsidRPr="00F53BB4" w:rsidRDefault="002B2956" w:rsidP="002B2956">
      <w:pPr>
        <w:keepNext/>
        <w:keepLines/>
        <w:spacing w:line="360" w:lineRule="auto"/>
        <w:jc w:val="both"/>
        <w:rPr>
          <w:rFonts w:ascii="Times New Roman" w:hAnsi="Times New Roman" w:cs="Times New Roman"/>
          <w:lang w:val="en-US"/>
        </w:rPr>
      </w:pPr>
    </w:p>
    <w:p w14:paraId="47495E86" w14:textId="22848E3E" w:rsidR="005419DA" w:rsidRPr="00F53BB4" w:rsidRDefault="005419DA" w:rsidP="005419DA">
      <w:pPr>
        <w:spacing w:line="360" w:lineRule="auto"/>
        <w:jc w:val="both"/>
        <w:rPr>
          <w:rFonts w:ascii="Times New Roman" w:hAnsi="Times New Roman" w:cs="Times New Roman"/>
          <w:lang w:val="en-US"/>
        </w:rPr>
      </w:pPr>
      <w:r w:rsidRPr="00F53BB4">
        <w:rPr>
          <w:rFonts w:ascii="Times New Roman" w:hAnsi="Times New Roman" w:cs="Times New Roman"/>
          <w:b/>
          <w:lang w:val="en-US"/>
        </w:rPr>
        <w:t>Table 1</w:t>
      </w:r>
      <w:r w:rsidRPr="00F53BB4">
        <w:rPr>
          <w:rFonts w:ascii="Times New Roman" w:hAnsi="Times New Roman" w:cs="Times New Roman"/>
          <w:lang w:val="en-US"/>
        </w:rPr>
        <w:t>: Results of 2019 European Parliament election in Denmark</w:t>
      </w:r>
    </w:p>
    <w:tbl>
      <w:tblPr>
        <w:tblStyle w:val="Tabel-Gitter"/>
        <w:tblW w:w="0" w:type="auto"/>
        <w:tblLook w:val="04A0" w:firstRow="1" w:lastRow="0" w:firstColumn="1" w:lastColumn="0" w:noHBand="0" w:noVBand="1"/>
      </w:tblPr>
      <w:tblGrid>
        <w:gridCol w:w="1705"/>
        <w:gridCol w:w="1270"/>
        <w:gridCol w:w="1065"/>
        <w:gridCol w:w="1025"/>
        <w:gridCol w:w="1184"/>
        <w:gridCol w:w="756"/>
        <w:gridCol w:w="875"/>
        <w:gridCol w:w="1176"/>
      </w:tblGrid>
      <w:tr w:rsidR="00AF0165" w:rsidRPr="009424C5" w14:paraId="05AC4463" w14:textId="77777777" w:rsidTr="005419DA">
        <w:trPr>
          <w:trHeight w:val="557"/>
        </w:trPr>
        <w:tc>
          <w:tcPr>
            <w:tcW w:w="1760" w:type="dxa"/>
            <w:hideMark/>
          </w:tcPr>
          <w:p w14:paraId="0D50B7E5" w14:textId="77777777" w:rsidR="002C0DB7" w:rsidRPr="00AA6DC8" w:rsidRDefault="002C0DB7" w:rsidP="00B24706">
            <w:pPr>
              <w:rPr>
                <w:rFonts w:ascii="Times New Roman" w:eastAsia="Times New Roman" w:hAnsi="Times New Roman" w:cs="Times New Roman"/>
                <w:b/>
                <w:bCs/>
              </w:rPr>
            </w:pPr>
            <w:r w:rsidRPr="00AA6DC8">
              <w:rPr>
                <w:rFonts w:ascii="Times New Roman" w:eastAsia="Times New Roman" w:hAnsi="Times New Roman" w:cs="Times New Roman"/>
                <w:b/>
              </w:rPr>
              <w:t xml:space="preserve">Parties and coalitions </w:t>
            </w:r>
          </w:p>
        </w:tc>
        <w:tc>
          <w:tcPr>
            <w:tcW w:w="1165" w:type="dxa"/>
          </w:tcPr>
          <w:p w14:paraId="6CAB745A" w14:textId="77777777" w:rsidR="002C0DB7" w:rsidRPr="00AA6DC8" w:rsidRDefault="002C0DB7" w:rsidP="00B24706">
            <w:pPr>
              <w:rPr>
                <w:rFonts w:ascii="Times New Roman" w:eastAsia="Times New Roman" w:hAnsi="Times New Roman" w:cs="Times New Roman"/>
                <w:bCs/>
                <w:i/>
              </w:rPr>
            </w:pPr>
            <w:r w:rsidRPr="00AA6DC8">
              <w:rPr>
                <w:rFonts w:ascii="Times New Roman" w:eastAsia="Times New Roman" w:hAnsi="Times New Roman" w:cs="Times New Roman"/>
                <w:i/>
              </w:rPr>
              <w:t>EP group</w:t>
            </w:r>
          </w:p>
        </w:tc>
        <w:tc>
          <w:tcPr>
            <w:tcW w:w="1094" w:type="dxa"/>
            <w:hideMark/>
          </w:tcPr>
          <w:p w14:paraId="089B8853" w14:textId="77777777" w:rsidR="002C0DB7" w:rsidRPr="00AA6DC8" w:rsidRDefault="002C0DB7" w:rsidP="00B24706">
            <w:pPr>
              <w:jc w:val="center"/>
              <w:rPr>
                <w:rFonts w:ascii="Times New Roman" w:eastAsia="Times New Roman" w:hAnsi="Times New Roman" w:cs="Times New Roman"/>
                <w:bCs/>
                <w:i/>
              </w:rPr>
            </w:pPr>
            <w:r w:rsidRPr="00AA6DC8">
              <w:rPr>
                <w:rFonts w:ascii="Times New Roman" w:eastAsia="Times New Roman" w:hAnsi="Times New Roman" w:cs="Times New Roman"/>
                <w:i/>
              </w:rPr>
              <w:t>EP votes (N)</w:t>
            </w:r>
          </w:p>
        </w:tc>
        <w:tc>
          <w:tcPr>
            <w:tcW w:w="1055" w:type="dxa"/>
          </w:tcPr>
          <w:p w14:paraId="51C993B8" w14:textId="77777777" w:rsidR="002C0DB7" w:rsidRPr="00AA6DC8" w:rsidRDefault="002C0DB7" w:rsidP="00B24706">
            <w:pPr>
              <w:jc w:val="center"/>
              <w:rPr>
                <w:rFonts w:ascii="Times New Roman" w:eastAsia="Times New Roman" w:hAnsi="Times New Roman" w:cs="Times New Roman"/>
                <w:bCs/>
                <w:i/>
              </w:rPr>
            </w:pPr>
            <w:r w:rsidRPr="00AA6DC8">
              <w:rPr>
                <w:rFonts w:ascii="Times New Roman" w:eastAsia="Times New Roman" w:hAnsi="Times New Roman" w:cs="Times New Roman"/>
                <w:i/>
              </w:rPr>
              <w:t>EP votes (%)</w:t>
            </w:r>
          </w:p>
        </w:tc>
        <w:tc>
          <w:tcPr>
            <w:tcW w:w="1274" w:type="dxa"/>
          </w:tcPr>
          <w:p w14:paraId="3D34E332" w14:textId="67BFEE8D" w:rsidR="002C0DB7" w:rsidRPr="00AA6DC8" w:rsidRDefault="002C0DB7" w:rsidP="00A92160">
            <w:pPr>
              <w:jc w:val="center"/>
              <w:rPr>
                <w:rFonts w:ascii="Times New Roman" w:eastAsia="Times New Roman" w:hAnsi="Times New Roman" w:cs="Times New Roman"/>
                <w:bCs/>
                <w:i/>
              </w:rPr>
            </w:pPr>
            <w:r w:rsidRPr="00AA6DC8">
              <w:rPr>
                <w:rFonts w:ascii="Times New Roman" w:eastAsia="Times New Roman" w:hAnsi="Times New Roman" w:cs="Times New Roman"/>
                <w:i/>
              </w:rPr>
              <w:t>Vote change from 2014</w:t>
            </w:r>
            <w:r w:rsidR="00A92160">
              <w:rPr>
                <w:rFonts w:ascii="Times New Roman" w:eastAsia="Times New Roman" w:hAnsi="Times New Roman" w:cs="Times New Roman"/>
                <w:i/>
              </w:rPr>
              <w:t xml:space="preserve"> (%-points)</w:t>
            </w:r>
          </w:p>
        </w:tc>
        <w:tc>
          <w:tcPr>
            <w:tcW w:w="770" w:type="dxa"/>
            <w:hideMark/>
          </w:tcPr>
          <w:p w14:paraId="30FCB77A" w14:textId="77777777" w:rsidR="002C0DB7" w:rsidRPr="00AA6DC8" w:rsidRDefault="002C0DB7" w:rsidP="00B24706">
            <w:pPr>
              <w:jc w:val="center"/>
              <w:rPr>
                <w:rFonts w:ascii="Times New Roman" w:eastAsia="Times New Roman" w:hAnsi="Times New Roman" w:cs="Times New Roman"/>
                <w:bCs/>
                <w:i/>
              </w:rPr>
            </w:pPr>
            <w:r w:rsidRPr="00AA6DC8">
              <w:rPr>
                <w:rFonts w:ascii="Times New Roman" w:eastAsia="Times New Roman" w:hAnsi="Times New Roman" w:cs="Times New Roman"/>
                <w:i/>
              </w:rPr>
              <w:t>Seats</w:t>
            </w:r>
          </w:p>
          <w:p w14:paraId="6A1793A4" w14:textId="77777777" w:rsidR="002C0DB7" w:rsidRPr="00AA6DC8" w:rsidRDefault="002C0DB7" w:rsidP="00B24706">
            <w:pPr>
              <w:jc w:val="center"/>
              <w:rPr>
                <w:rFonts w:ascii="Times New Roman" w:eastAsia="Times New Roman" w:hAnsi="Times New Roman" w:cs="Times New Roman"/>
                <w:bCs/>
                <w:i/>
              </w:rPr>
            </w:pPr>
            <w:r w:rsidRPr="00AA6DC8">
              <w:rPr>
                <w:rFonts w:ascii="Times New Roman" w:eastAsia="Times New Roman" w:hAnsi="Times New Roman" w:cs="Times New Roman"/>
                <w:i/>
              </w:rPr>
              <w:t>Total</w:t>
            </w:r>
          </w:p>
        </w:tc>
        <w:tc>
          <w:tcPr>
            <w:tcW w:w="891" w:type="dxa"/>
          </w:tcPr>
          <w:p w14:paraId="2587EFFE" w14:textId="77777777" w:rsidR="002C0DB7" w:rsidRPr="00AA6DC8" w:rsidRDefault="002C0DB7" w:rsidP="00B24706">
            <w:pPr>
              <w:jc w:val="center"/>
              <w:rPr>
                <w:rFonts w:ascii="Times New Roman" w:eastAsia="Times New Roman" w:hAnsi="Times New Roman" w:cs="Times New Roman"/>
                <w:bCs/>
                <w:i/>
              </w:rPr>
            </w:pPr>
            <w:r w:rsidRPr="00AA6DC8">
              <w:rPr>
                <w:rFonts w:ascii="Times New Roman" w:eastAsia="Times New Roman" w:hAnsi="Times New Roman" w:cs="Times New Roman"/>
                <w:i/>
              </w:rPr>
              <w:t>Votes</w:t>
            </w:r>
          </w:p>
          <w:p w14:paraId="6B0EAEF3" w14:textId="77777777" w:rsidR="002C0DB7" w:rsidRPr="00AA6DC8" w:rsidRDefault="002C0DB7" w:rsidP="00B24706">
            <w:pPr>
              <w:jc w:val="center"/>
              <w:rPr>
                <w:rFonts w:ascii="Times New Roman" w:eastAsia="Times New Roman" w:hAnsi="Times New Roman" w:cs="Times New Roman"/>
                <w:bCs/>
                <w:i/>
              </w:rPr>
            </w:pPr>
            <w:r w:rsidRPr="00AA6DC8">
              <w:rPr>
                <w:rFonts w:ascii="Times New Roman" w:eastAsia="Times New Roman" w:hAnsi="Times New Roman" w:cs="Times New Roman"/>
                <w:i/>
              </w:rPr>
              <w:t>(%)</w:t>
            </w:r>
          </w:p>
        </w:tc>
        <w:tc>
          <w:tcPr>
            <w:tcW w:w="1047" w:type="dxa"/>
          </w:tcPr>
          <w:p w14:paraId="2D5A8BA7" w14:textId="65ACB883" w:rsidR="002C0DB7" w:rsidRPr="00AA6DC8" w:rsidRDefault="002C0DB7" w:rsidP="00EC41CF">
            <w:pPr>
              <w:jc w:val="center"/>
              <w:rPr>
                <w:rFonts w:ascii="Times New Roman" w:eastAsia="Times New Roman" w:hAnsi="Times New Roman" w:cs="Times New Roman"/>
                <w:bCs/>
                <w:i/>
              </w:rPr>
            </w:pPr>
            <w:r w:rsidRPr="00AA6DC8">
              <w:rPr>
                <w:rFonts w:ascii="Times New Roman" w:eastAsia="Times New Roman" w:hAnsi="Times New Roman" w:cs="Times New Roman"/>
                <w:i/>
              </w:rPr>
              <w:t xml:space="preserve">Vote </w:t>
            </w:r>
            <w:r w:rsidR="00EC41CF" w:rsidRPr="00AA6DC8">
              <w:rPr>
                <w:rFonts w:ascii="Times New Roman" w:eastAsia="Times New Roman" w:hAnsi="Times New Roman" w:cs="Times New Roman"/>
                <w:i/>
              </w:rPr>
              <w:t>difference</w:t>
            </w:r>
            <w:r w:rsidRPr="00AA6DC8">
              <w:rPr>
                <w:rFonts w:ascii="Times New Roman" w:eastAsia="Times New Roman" w:hAnsi="Times New Roman" w:cs="Times New Roman"/>
                <w:i/>
              </w:rPr>
              <w:t xml:space="preserve"> </w:t>
            </w:r>
            <w:r w:rsidR="00EC41CF" w:rsidRPr="00AA6DC8">
              <w:rPr>
                <w:rFonts w:ascii="Times New Roman" w:eastAsia="Times New Roman" w:hAnsi="Times New Roman" w:cs="Times New Roman"/>
                <w:i/>
              </w:rPr>
              <w:t>to</w:t>
            </w:r>
            <w:r w:rsidRPr="00AA6DC8">
              <w:rPr>
                <w:rFonts w:ascii="Times New Roman" w:eastAsia="Times New Roman" w:hAnsi="Times New Roman" w:cs="Times New Roman"/>
                <w:i/>
              </w:rPr>
              <w:t xml:space="preserve"> NE</w:t>
            </w:r>
          </w:p>
        </w:tc>
      </w:tr>
      <w:tr w:rsidR="002611B9" w:rsidRPr="009424C5" w14:paraId="454AC2DF" w14:textId="77777777" w:rsidTr="005419DA">
        <w:tc>
          <w:tcPr>
            <w:tcW w:w="1760" w:type="dxa"/>
            <w:hideMark/>
          </w:tcPr>
          <w:p w14:paraId="3CC83EB7" w14:textId="7649D098" w:rsidR="00DA4E53" w:rsidRPr="00AA6DC8" w:rsidRDefault="00DA4E53" w:rsidP="00F66ED4">
            <w:pPr>
              <w:rPr>
                <w:rFonts w:ascii="Times New Roman" w:eastAsia="Times New Roman" w:hAnsi="Times New Roman" w:cs="Times New Roman"/>
                <w:b/>
                <w:i/>
              </w:rPr>
            </w:pPr>
            <w:r w:rsidRPr="00AA6DC8">
              <w:rPr>
                <w:rFonts w:ascii="Times New Roman" w:eastAsia="Times New Roman" w:hAnsi="Times New Roman" w:cs="Times New Roman"/>
                <w:i/>
              </w:rPr>
              <w:t>Venstre</w:t>
            </w:r>
            <w:r w:rsidR="00F66ED4" w:rsidRPr="00AA6DC8">
              <w:rPr>
                <w:rFonts w:ascii="Times New Roman" w:eastAsia="Times New Roman" w:hAnsi="Times New Roman" w:cs="Times New Roman"/>
                <w:i/>
              </w:rPr>
              <w:t xml:space="preserve"> (V)</w:t>
            </w:r>
          </w:p>
        </w:tc>
        <w:tc>
          <w:tcPr>
            <w:tcW w:w="1165" w:type="dxa"/>
          </w:tcPr>
          <w:p w14:paraId="691AC786" w14:textId="3D79939C"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ALDE</w:t>
            </w:r>
          </w:p>
        </w:tc>
        <w:tc>
          <w:tcPr>
            <w:tcW w:w="1094" w:type="dxa"/>
          </w:tcPr>
          <w:p w14:paraId="43653FBD" w14:textId="7CC6B31B"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648,203 </w:t>
            </w:r>
          </w:p>
        </w:tc>
        <w:tc>
          <w:tcPr>
            <w:tcW w:w="1055" w:type="dxa"/>
            <w:hideMark/>
          </w:tcPr>
          <w:p w14:paraId="1E4B0A42" w14:textId="1D324D1A"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23.50%</w:t>
            </w:r>
          </w:p>
        </w:tc>
        <w:tc>
          <w:tcPr>
            <w:tcW w:w="1274" w:type="dxa"/>
          </w:tcPr>
          <w:p w14:paraId="3FD53C3A" w14:textId="625D63F5"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+6.80%</w:t>
            </w:r>
          </w:p>
        </w:tc>
        <w:tc>
          <w:tcPr>
            <w:tcW w:w="770" w:type="dxa"/>
            <w:hideMark/>
          </w:tcPr>
          <w:p w14:paraId="72744406" w14:textId="2A66EDE7"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3</w:t>
            </w:r>
          </w:p>
        </w:tc>
        <w:tc>
          <w:tcPr>
            <w:tcW w:w="891" w:type="dxa"/>
          </w:tcPr>
          <w:p w14:paraId="71629AE7" w14:textId="7BEE4249"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23,4%</w:t>
            </w:r>
          </w:p>
        </w:tc>
        <w:tc>
          <w:tcPr>
            <w:tcW w:w="1047" w:type="dxa"/>
          </w:tcPr>
          <w:p w14:paraId="6EDD9284" w14:textId="28168643"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-0.10%</w:t>
            </w:r>
          </w:p>
        </w:tc>
      </w:tr>
      <w:tr w:rsidR="002611B9" w:rsidRPr="009424C5" w14:paraId="035F86E5" w14:textId="77777777" w:rsidTr="005419DA">
        <w:tc>
          <w:tcPr>
            <w:tcW w:w="1760" w:type="dxa"/>
            <w:hideMark/>
          </w:tcPr>
          <w:p w14:paraId="6022B4A9" w14:textId="04444E6B" w:rsidR="00DA4E53" w:rsidRPr="00AA6DC8" w:rsidRDefault="00F66ED4" w:rsidP="00F66ED4">
            <w:pPr>
              <w:rPr>
                <w:rFonts w:ascii="Times New Roman" w:eastAsia="Times New Roman" w:hAnsi="Times New Roman" w:cs="Times New Roman"/>
                <w:b/>
                <w:i/>
              </w:rPr>
            </w:pPr>
            <w:r w:rsidRPr="00AA6DC8">
              <w:rPr>
                <w:rFonts w:ascii="Times New Roman" w:hAnsi="Times New Roman" w:cs="Times New Roman"/>
                <w:i/>
              </w:rPr>
              <w:t>Social Democrats (A)</w:t>
            </w:r>
          </w:p>
        </w:tc>
        <w:tc>
          <w:tcPr>
            <w:tcW w:w="1165" w:type="dxa"/>
          </w:tcPr>
          <w:p w14:paraId="2E799475" w14:textId="7970EDAD"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S&amp;D</w:t>
            </w:r>
          </w:p>
        </w:tc>
        <w:tc>
          <w:tcPr>
            <w:tcW w:w="1094" w:type="dxa"/>
          </w:tcPr>
          <w:p w14:paraId="094116E9" w14:textId="6DD21D0C"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592,645 </w:t>
            </w:r>
          </w:p>
        </w:tc>
        <w:tc>
          <w:tcPr>
            <w:tcW w:w="1055" w:type="dxa"/>
            <w:hideMark/>
          </w:tcPr>
          <w:p w14:paraId="2118AA49" w14:textId="6A18FCA7"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21.48%</w:t>
            </w:r>
          </w:p>
        </w:tc>
        <w:tc>
          <w:tcPr>
            <w:tcW w:w="1274" w:type="dxa"/>
          </w:tcPr>
          <w:p w14:paraId="4A496A7E" w14:textId="555EF916"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+2.38%</w:t>
            </w:r>
          </w:p>
        </w:tc>
        <w:tc>
          <w:tcPr>
            <w:tcW w:w="770" w:type="dxa"/>
            <w:hideMark/>
          </w:tcPr>
          <w:p w14:paraId="7D87318C" w14:textId="243D80F6"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3</w:t>
            </w:r>
          </w:p>
        </w:tc>
        <w:tc>
          <w:tcPr>
            <w:tcW w:w="891" w:type="dxa"/>
          </w:tcPr>
          <w:p w14:paraId="4684B687" w14:textId="7070A8E2"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25,9%</w:t>
            </w:r>
          </w:p>
        </w:tc>
        <w:tc>
          <w:tcPr>
            <w:tcW w:w="1047" w:type="dxa"/>
          </w:tcPr>
          <w:p w14:paraId="6C5B3DD2" w14:textId="2C51CEE3" w:rsidR="00DA4E53" w:rsidRPr="00AA6DC8" w:rsidRDefault="00AE0379" w:rsidP="00DA4E53">
            <w:pPr>
              <w:jc w:val="center"/>
              <w:rPr>
                <w:rFonts w:ascii="Times New Roman" w:hAnsi="Times New Roman" w:cs="Times New Roman"/>
              </w:rPr>
            </w:pPr>
            <w:r w:rsidRPr="00AA6DC8">
              <w:rPr>
                <w:rFonts w:ascii="Times New Roman" w:hAnsi="Times New Roman" w:cs="Times New Roman"/>
              </w:rPr>
              <w:t>+</w:t>
            </w:r>
            <w:r w:rsidR="00DA4E53" w:rsidRPr="00AA6DC8">
              <w:rPr>
                <w:rFonts w:ascii="Times New Roman" w:hAnsi="Times New Roman" w:cs="Times New Roman"/>
              </w:rPr>
              <w:t>4.42%</w:t>
            </w:r>
          </w:p>
        </w:tc>
      </w:tr>
      <w:tr w:rsidR="002611B9" w:rsidRPr="009424C5" w14:paraId="5172AEC8" w14:textId="77777777" w:rsidTr="005419DA">
        <w:tc>
          <w:tcPr>
            <w:tcW w:w="1760" w:type="dxa"/>
            <w:hideMark/>
          </w:tcPr>
          <w:p w14:paraId="02C6BE5C" w14:textId="016BDC96" w:rsidR="00DA4E53" w:rsidRPr="00AA6DC8" w:rsidRDefault="00F66ED4" w:rsidP="00DA4E53">
            <w:pPr>
              <w:rPr>
                <w:rFonts w:ascii="Times New Roman" w:eastAsia="Times New Roman" w:hAnsi="Times New Roman" w:cs="Times New Roman"/>
                <w:i/>
              </w:rPr>
            </w:pPr>
            <w:r w:rsidRPr="00AA6DC8">
              <w:rPr>
                <w:rFonts w:ascii="Times New Roman" w:eastAsia="Times New Roman" w:hAnsi="Times New Roman" w:cs="Times New Roman"/>
                <w:bCs/>
                <w:i/>
              </w:rPr>
              <w:t>Socialist People's Party (SF)</w:t>
            </w:r>
          </w:p>
        </w:tc>
        <w:tc>
          <w:tcPr>
            <w:tcW w:w="1165" w:type="dxa"/>
          </w:tcPr>
          <w:p w14:paraId="1D81879F" w14:textId="65E223E0"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G-EFA</w:t>
            </w:r>
          </w:p>
        </w:tc>
        <w:tc>
          <w:tcPr>
            <w:tcW w:w="1094" w:type="dxa"/>
          </w:tcPr>
          <w:p w14:paraId="0D3C9B16" w14:textId="30B15A82"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364,895 </w:t>
            </w:r>
          </w:p>
        </w:tc>
        <w:tc>
          <w:tcPr>
            <w:tcW w:w="1055" w:type="dxa"/>
            <w:hideMark/>
          </w:tcPr>
          <w:p w14:paraId="69164793" w14:textId="60B03507"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13.23%</w:t>
            </w:r>
          </w:p>
        </w:tc>
        <w:tc>
          <w:tcPr>
            <w:tcW w:w="1274" w:type="dxa"/>
          </w:tcPr>
          <w:p w14:paraId="16C4AF2B" w14:textId="1085D14B"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+2.23%</w:t>
            </w:r>
          </w:p>
        </w:tc>
        <w:tc>
          <w:tcPr>
            <w:tcW w:w="770" w:type="dxa"/>
            <w:hideMark/>
          </w:tcPr>
          <w:p w14:paraId="1280B328" w14:textId="436F0658"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2</w:t>
            </w:r>
          </w:p>
        </w:tc>
        <w:tc>
          <w:tcPr>
            <w:tcW w:w="891" w:type="dxa"/>
          </w:tcPr>
          <w:p w14:paraId="6E65B149" w14:textId="2F1A51AA"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7,7%</w:t>
            </w:r>
          </w:p>
        </w:tc>
        <w:tc>
          <w:tcPr>
            <w:tcW w:w="1047" w:type="dxa"/>
          </w:tcPr>
          <w:p w14:paraId="4E4F40B8" w14:textId="6C838443" w:rsidR="00DA4E53" w:rsidRPr="00AA6DC8" w:rsidRDefault="00DA4E53" w:rsidP="00DA4E53">
            <w:pPr>
              <w:jc w:val="center"/>
              <w:rPr>
                <w:rFonts w:ascii="Times New Roman" w:hAnsi="Times New Roman" w:cs="Times New Roman"/>
              </w:rPr>
            </w:pPr>
            <w:r w:rsidRPr="00AA6DC8">
              <w:rPr>
                <w:rFonts w:ascii="Times New Roman" w:hAnsi="Times New Roman" w:cs="Times New Roman"/>
              </w:rPr>
              <w:t>-5.53%</w:t>
            </w:r>
          </w:p>
        </w:tc>
      </w:tr>
      <w:tr w:rsidR="002611B9" w:rsidRPr="009424C5" w14:paraId="5B73EB83" w14:textId="77777777" w:rsidTr="005419DA">
        <w:tc>
          <w:tcPr>
            <w:tcW w:w="1760" w:type="dxa"/>
            <w:hideMark/>
          </w:tcPr>
          <w:p w14:paraId="37A803A0" w14:textId="2114A773" w:rsidR="00DA4E53" w:rsidRPr="00AA6DC8" w:rsidRDefault="00F66ED4" w:rsidP="0015141F">
            <w:pPr>
              <w:rPr>
                <w:rFonts w:ascii="Times New Roman" w:eastAsia="Times New Roman" w:hAnsi="Times New Roman" w:cs="Times New Roman"/>
                <w:b/>
                <w:i/>
                <w:lang w:val="en-US"/>
              </w:rPr>
            </w:pPr>
            <w:r w:rsidRPr="00AA6DC8">
              <w:rPr>
                <w:rFonts w:ascii="Times New Roman" w:hAnsi="Times New Roman" w:cs="Times New Roman"/>
                <w:i/>
                <w:lang w:val="en-US"/>
              </w:rPr>
              <w:t>Social Liberal</w:t>
            </w:r>
            <w:r w:rsidR="0015141F">
              <w:rPr>
                <w:rFonts w:ascii="Times New Roman" w:hAnsi="Times New Roman" w:cs="Times New Roman"/>
                <w:i/>
                <w:lang w:val="en-US"/>
              </w:rPr>
              <w:t>s</w:t>
            </w:r>
            <w:r w:rsidRPr="00AA6DC8">
              <w:rPr>
                <w:rFonts w:ascii="Times New Roman" w:hAnsi="Times New Roman" w:cs="Times New Roman"/>
                <w:i/>
                <w:lang w:val="en-US"/>
              </w:rPr>
              <w:t xml:space="preserve"> (B)</w:t>
            </w:r>
          </w:p>
        </w:tc>
        <w:tc>
          <w:tcPr>
            <w:tcW w:w="1165" w:type="dxa"/>
          </w:tcPr>
          <w:p w14:paraId="439FEA37" w14:textId="01166C16"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ALDE</w:t>
            </w:r>
          </w:p>
        </w:tc>
        <w:tc>
          <w:tcPr>
            <w:tcW w:w="1094" w:type="dxa"/>
          </w:tcPr>
          <w:p w14:paraId="68E918B2" w14:textId="1EE9FE87"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277,929 </w:t>
            </w:r>
          </w:p>
        </w:tc>
        <w:tc>
          <w:tcPr>
            <w:tcW w:w="1055" w:type="dxa"/>
            <w:hideMark/>
          </w:tcPr>
          <w:p w14:paraId="516540E6" w14:textId="0EF7078C"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10.07%</w:t>
            </w:r>
          </w:p>
        </w:tc>
        <w:tc>
          <w:tcPr>
            <w:tcW w:w="1274" w:type="dxa"/>
          </w:tcPr>
          <w:p w14:paraId="3477A866" w14:textId="3689F2AD"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+3.57%</w:t>
            </w:r>
          </w:p>
        </w:tc>
        <w:tc>
          <w:tcPr>
            <w:tcW w:w="770" w:type="dxa"/>
            <w:hideMark/>
          </w:tcPr>
          <w:p w14:paraId="6D8419A8" w14:textId="018DCA19"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2</w:t>
            </w:r>
          </w:p>
        </w:tc>
        <w:tc>
          <w:tcPr>
            <w:tcW w:w="891" w:type="dxa"/>
          </w:tcPr>
          <w:p w14:paraId="7FD9429B" w14:textId="158A529D"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8,6%</w:t>
            </w:r>
          </w:p>
        </w:tc>
        <w:tc>
          <w:tcPr>
            <w:tcW w:w="1047" w:type="dxa"/>
          </w:tcPr>
          <w:p w14:paraId="4CDD28D2" w14:textId="0C75E047" w:rsidR="00DA4E53" w:rsidRPr="00AA6DC8" w:rsidRDefault="00DA4E53" w:rsidP="00DA4E53">
            <w:pPr>
              <w:jc w:val="center"/>
              <w:rPr>
                <w:rFonts w:ascii="Times New Roman" w:hAnsi="Times New Roman" w:cs="Times New Roman"/>
              </w:rPr>
            </w:pPr>
            <w:r w:rsidRPr="00AA6DC8">
              <w:rPr>
                <w:rFonts w:ascii="Times New Roman" w:hAnsi="Times New Roman" w:cs="Times New Roman"/>
              </w:rPr>
              <w:t>-1.47%</w:t>
            </w:r>
          </w:p>
        </w:tc>
      </w:tr>
      <w:tr w:rsidR="002611B9" w:rsidRPr="009424C5" w14:paraId="76309473" w14:textId="77777777" w:rsidTr="005419DA">
        <w:tc>
          <w:tcPr>
            <w:tcW w:w="1760" w:type="dxa"/>
            <w:hideMark/>
          </w:tcPr>
          <w:p w14:paraId="091ED7A9" w14:textId="718CF190" w:rsidR="00DA4E53" w:rsidRPr="00AA6DC8" w:rsidRDefault="00F66ED4" w:rsidP="00DA4E53">
            <w:pPr>
              <w:rPr>
                <w:rFonts w:ascii="Times New Roman" w:eastAsia="Times New Roman" w:hAnsi="Times New Roman" w:cs="Times New Roman"/>
                <w:i/>
              </w:rPr>
            </w:pPr>
            <w:r w:rsidRPr="00AA6DC8">
              <w:rPr>
                <w:rFonts w:ascii="Times New Roman" w:eastAsia="Times New Roman" w:hAnsi="Times New Roman" w:cs="Times New Roman"/>
                <w:bCs/>
                <w:i/>
              </w:rPr>
              <w:t>Danish People’s Party (O)</w:t>
            </w:r>
          </w:p>
        </w:tc>
        <w:tc>
          <w:tcPr>
            <w:tcW w:w="1165" w:type="dxa"/>
          </w:tcPr>
          <w:p w14:paraId="7F44246A" w14:textId="286929BB"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ECR</w:t>
            </w:r>
          </w:p>
        </w:tc>
        <w:tc>
          <w:tcPr>
            <w:tcW w:w="1094" w:type="dxa"/>
          </w:tcPr>
          <w:p w14:paraId="7435F549" w14:textId="11D63798"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296,978 </w:t>
            </w:r>
          </w:p>
        </w:tc>
        <w:tc>
          <w:tcPr>
            <w:tcW w:w="1055" w:type="dxa"/>
            <w:hideMark/>
          </w:tcPr>
          <w:p w14:paraId="550FD83F" w14:textId="520C8A19"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10.76%</w:t>
            </w:r>
          </w:p>
        </w:tc>
        <w:tc>
          <w:tcPr>
            <w:tcW w:w="1274" w:type="dxa"/>
          </w:tcPr>
          <w:p w14:paraId="5BE7C3EC" w14:textId="42FCB73B"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-15.84%</w:t>
            </w:r>
          </w:p>
        </w:tc>
        <w:tc>
          <w:tcPr>
            <w:tcW w:w="770" w:type="dxa"/>
            <w:hideMark/>
          </w:tcPr>
          <w:p w14:paraId="6554292C" w14:textId="72C6CF54"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1</w:t>
            </w:r>
          </w:p>
        </w:tc>
        <w:tc>
          <w:tcPr>
            <w:tcW w:w="891" w:type="dxa"/>
          </w:tcPr>
          <w:p w14:paraId="68BC6129" w14:textId="12B07995"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7,7%</w:t>
            </w:r>
          </w:p>
        </w:tc>
        <w:tc>
          <w:tcPr>
            <w:tcW w:w="1047" w:type="dxa"/>
          </w:tcPr>
          <w:p w14:paraId="1DE85C7B" w14:textId="2129B76C" w:rsidR="00DA4E53" w:rsidRPr="00AA6DC8" w:rsidRDefault="00DA4E53" w:rsidP="00DA4E53">
            <w:pPr>
              <w:jc w:val="center"/>
              <w:rPr>
                <w:rFonts w:ascii="Times New Roman" w:hAnsi="Times New Roman" w:cs="Times New Roman"/>
              </w:rPr>
            </w:pPr>
            <w:r w:rsidRPr="00AA6DC8">
              <w:rPr>
                <w:rFonts w:ascii="Times New Roman" w:hAnsi="Times New Roman" w:cs="Times New Roman"/>
              </w:rPr>
              <w:t>-3.06%</w:t>
            </w:r>
          </w:p>
        </w:tc>
      </w:tr>
      <w:tr w:rsidR="002611B9" w:rsidRPr="009424C5" w14:paraId="6DFD8879" w14:textId="77777777" w:rsidTr="005419DA">
        <w:trPr>
          <w:trHeight w:val="571"/>
        </w:trPr>
        <w:tc>
          <w:tcPr>
            <w:tcW w:w="1760" w:type="dxa"/>
            <w:hideMark/>
          </w:tcPr>
          <w:p w14:paraId="40BC01B4" w14:textId="3E1F0BF2" w:rsidR="00DA4E53" w:rsidRPr="00AA6DC8" w:rsidRDefault="00F66ED4" w:rsidP="0015141F">
            <w:pPr>
              <w:rPr>
                <w:rFonts w:ascii="Times New Roman" w:eastAsia="Times New Roman" w:hAnsi="Times New Roman" w:cs="Times New Roman"/>
                <w:i/>
                <w:lang w:val="de-DE"/>
              </w:rPr>
            </w:pPr>
            <w:r w:rsidRPr="00AA6DC8">
              <w:rPr>
                <w:rFonts w:ascii="Times New Roman" w:eastAsia="Times New Roman" w:hAnsi="Times New Roman" w:cs="Times New Roman"/>
                <w:bCs/>
                <w:i/>
                <w:lang w:val="de-DE"/>
              </w:rPr>
              <w:t>Conservative</w:t>
            </w:r>
            <w:r w:rsidR="0015141F">
              <w:rPr>
                <w:rFonts w:ascii="Times New Roman" w:eastAsia="Times New Roman" w:hAnsi="Times New Roman" w:cs="Times New Roman"/>
                <w:bCs/>
                <w:i/>
                <w:lang w:val="de-DE"/>
              </w:rPr>
              <w:t>s</w:t>
            </w:r>
            <w:r w:rsidRPr="00AA6DC8">
              <w:rPr>
                <w:rFonts w:ascii="Times New Roman" w:eastAsia="Times New Roman" w:hAnsi="Times New Roman" w:cs="Times New Roman"/>
                <w:bCs/>
                <w:i/>
                <w:lang w:val="de-DE"/>
              </w:rPr>
              <w:t xml:space="preserve"> (C)</w:t>
            </w:r>
          </w:p>
        </w:tc>
        <w:tc>
          <w:tcPr>
            <w:tcW w:w="1165" w:type="dxa"/>
          </w:tcPr>
          <w:p w14:paraId="079A2F09" w14:textId="0E4A3C1A"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EPP</w:t>
            </w:r>
          </w:p>
        </w:tc>
        <w:tc>
          <w:tcPr>
            <w:tcW w:w="1094" w:type="dxa"/>
          </w:tcPr>
          <w:p w14:paraId="410B1B2D" w14:textId="621F7EAF"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170,544 </w:t>
            </w:r>
          </w:p>
        </w:tc>
        <w:tc>
          <w:tcPr>
            <w:tcW w:w="1055" w:type="dxa"/>
            <w:hideMark/>
          </w:tcPr>
          <w:p w14:paraId="621E5BF2" w14:textId="0DBD9C2A"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6.18%</w:t>
            </w:r>
          </w:p>
        </w:tc>
        <w:tc>
          <w:tcPr>
            <w:tcW w:w="1274" w:type="dxa"/>
          </w:tcPr>
          <w:p w14:paraId="41BA4182" w14:textId="6154AD9D"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-2.92%</w:t>
            </w:r>
          </w:p>
        </w:tc>
        <w:tc>
          <w:tcPr>
            <w:tcW w:w="770" w:type="dxa"/>
            <w:hideMark/>
          </w:tcPr>
          <w:p w14:paraId="216FF5F7" w14:textId="2E9BF168"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1</w:t>
            </w:r>
          </w:p>
        </w:tc>
        <w:tc>
          <w:tcPr>
            <w:tcW w:w="891" w:type="dxa"/>
          </w:tcPr>
          <w:p w14:paraId="5F3BC11F" w14:textId="7E105E5D"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6,6%</w:t>
            </w:r>
          </w:p>
        </w:tc>
        <w:tc>
          <w:tcPr>
            <w:tcW w:w="1047" w:type="dxa"/>
          </w:tcPr>
          <w:p w14:paraId="126CAB8A" w14:textId="69B4785F" w:rsidR="00DA4E53" w:rsidRPr="00AA6DC8" w:rsidRDefault="00AE0379" w:rsidP="00DA4E53">
            <w:pPr>
              <w:jc w:val="center"/>
              <w:rPr>
                <w:rFonts w:ascii="Times New Roman" w:eastAsia="Times New Roman" w:hAnsi="Times New Roman" w:cs="Times New Roman"/>
              </w:rPr>
            </w:pPr>
            <w:r w:rsidRPr="00AA6DC8">
              <w:rPr>
                <w:rFonts w:ascii="Times New Roman" w:hAnsi="Times New Roman" w:cs="Times New Roman"/>
              </w:rPr>
              <w:t>+</w:t>
            </w:r>
            <w:r w:rsidR="00DA4E53" w:rsidRPr="00AA6DC8">
              <w:rPr>
                <w:rFonts w:ascii="Times New Roman" w:hAnsi="Times New Roman" w:cs="Times New Roman"/>
              </w:rPr>
              <w:t>0.42%</w:t>
            </w:r>
          </w:p>
        </w:tc>
      </w:tr>
      <w:tr w:rsidR="002611B9" w:rsidRPr="009424C5" w14:paraId="1F2D4BC4" w14:textId="77777777" w:rsidTr="005419DA">
        <w:tc>
          <w:tcPr>
            <w:tcW w:w="1760" w:type="dxa"/>
            <w:hideMark/>
          </w:tcPr>
          <w:p w14:paraId="326984C4" w14:textId="35EF50E7" w:rsidR="00DA4E53" w:rsidRPr="00AA6DC8" w:rsidRDefault="00F66ED4" w:rsidP="00F66ED4">
            <w:pPr>
              <w:rPr>
                <w:rFonts w:ascii="Times New Roman" w:eastAsia="Times New Roman" w:hAnsi="Times New Roman" w:cs="Times New Roman"/>
                <w:b/>
                <w:i/>
                <w:lang w:val="de-DE"/>
              </w:rPr>
            </w:pPr>
            <w:r w:rsidRPr="00AA6DC8">
              <w:rPr>
                <w:rFonts w:ascii="Times New Roman" w:hAnsi="Times New Roman" w:cs="Times New Roman"/>
                <w:i/>
                <w:lang w:val="de-DE"/>
              </w:rPr>
              <w:t>Enhedslisten</w:t>
            </w:r>
            <w:r w:rsidR="00FF11E5" w:rsidRPr="00AA6DC8">
              <w:rPr>
                <w:rFonts w:ascii="Times New Roman" w:hAnsi="Times New Roman" w:cs="Times New Roman"/>
                <w:i/>
                <w:lang w:val="de-DE"/>
              </w:rPr>
              <w:t xml:space="preserve"> (Ø)</w:t>
            </w:r>
          </w:p>
        </w:tc>
        <w:tc>
          <w:tcPr>
            <w:tcW w:w="1165" w:type="dxa"/>
          </w:tcPr>
          <w:p w14:paraId="151721F5" w14:textId="56A4384A"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GUE/NGL</w:t>
            </w:r>
          </w:p>
        </w:tc>
        <w:tc>
          <w:tcPr>
            <w:tcW w:w="1094" w:type="dxa"/>
          </w:tcPr>
          <w:p w14:paraId="337E63CF" w14:textId="6D4BEFD0"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151,903 </w:t>
            </w:r>
          </w:p>
        </w:tc>
        <w:tc>
          <w:tcPr>
            <w:tcW w:w="1055" w:type="dxa"/>
            <w:hideMark/>
          </w:tcPr>
          <w:p w14:paraId="12C7D1B2" w14:textId="6D197C9B"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5.51%</w:t>
            </w:r>
          </w:p>
        </w:tc>
        <w:tc>
          <w:tcPr>
            <w:tcW w:w="1274" w:type="dxa"/>
          </w:tcPr>
          <w:p w14:paraId="16C456CF" w14:textId="1695402C"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N/A</w:t>
            </w:r>
          </w:p>
        </w:tc>
        <w:tc>
          <w:tcPr>
            <w:tcW w:w="770" w:type="dxa"/>
            <w:hideMark/>
          </w:tcPr>
          <w:p w14:paraId="0542FF12" w14:textId="3F73FB4F"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1</w:t>
            </w:r>
          </w:p>
        </w:tc>
        <w:tc>
          <w:tcPr>
            <w:tcW w:w="891" w:type="dxa"/>
          </w:tcPr>
          <w:p w14:paraId="76400E08" w14:textId="03C9CC92"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6,9%</w:t>
            </w:r>
          </w:p>
        </w:tc>
        <w:tc>
          <w:tcPr>
            <w:tcW w:w="1047" w:type="dxa"/>
          </w:tcPr>
          <w:p w14:paraId="12674777" w14:textId="2EABAE0A" w:rsidR="00DA4E53" w:rsidRPr="00AA6DC8" w:rsidRDefault="00AE0379" w:rsidP="00DA4E53">
            <w:pPr>
              <w:jc w:val="center"/>
              <w:rPr>
                <w:rFonts w:ascii="Times New Roman" w:eastAsia="Times New Roman" w:hAnsi="Times New Roman" w:cs="Times New Roman"/>
              </w:rPr>
            </w:pPr>
            <w:r w:rsidRPr="00AA6DC8">
              <w:rPr>
                <w:rFonts w:ascii="Times New Roman" w:hAnsi="Times New Roman" w:cs="Times New Roman"/>
              </w:rPr>
              <w:t>+</w:t>
            </w:r>
            <w:r w:rsidR="00DA4E53" w:rsidRPr="00AA6DC8">
              <w:rPr>
                <w:rFonts w:ascii="Times New Roman" w:hAnsi="Times New Roman" w:cs="Times New Roman"/>
              </w:rPr>
              <w:t>1.39%</w:t>
            </w:r>
          </w:p>
        </w:tc>
      </w:tr>
      <w:tr w:rsidR="002611B9" w:rsidRPr="009424C5" w14:paraId="2C18D908" w14:textId="77777777" w:rsidTr="005419DA">
        <w:tc>
          <w:tcPr>
            <w:tcW w:w="1760" w:type="dxa"/>
            <w:hideMark/>
          </w:tcPr>
          <w:p w14:paraId="27C06623" w14:textId="06F19EBF" w:rsidR="00DA4E53" w:rsidRPr="00AA6DC8" w:rsidRDefault="00FF11E5" w:rsidP="0015141F">
            <w:pPr>
              <w:rPr>
                <w:rFonts w:ascii="Times New Roman" w:eastAsia="Times New Roman" w:hAnsi="Times New Roman" w:cs="Times New Roman"/>
                <w:b/>
                <w:i/>
                <w:lang w:val="en-US"/>
              </w:rPr>
            </w:pPr>
            <w:r w:rsidRPr="00AA6DC8">
              <w:rPr>
                <w:rFonts w:ascii="Times New Roman" w:hAnsi="Times New Roman" w:cs="Times New Roman"/>
                <w:i/>
                <w:lang w:val="en-US"/>
              </w:rPr>
              <w:t xml:space="preserve">People's Movement </w:t>
            </w:r>
            <w:r w:rsidR="0015141F">
              <w:rPr>
                <w:rFonts w:ascii="Times New Roman" w:hAnsi="Times New Roman" w:cs="Times New Roman"/>
                <w:i/>
                <w:lang w:val="en-US"/>
              </w:rPr>
              <w:t>A</w:t>
            </w:r>
            <w:r w:rsidR="0015141F" w:rsidRPr="00AA6DC8">
              <w:rPr>
                <w:rFonts w:ascii="Times New Roman" w:hAnsi="Times New Roman" w:cs="Times New Roman"/>
                <w:i/>
                <w:lang w:val="en-US"/>
              </w:rPr>
              <w:t xml:space="preserve">gainst </w:t>
            </w:r>
            <w:r w:rsidRPr="00AA6DC8">
              <w:rPr>
                <w:rFonts w:ascii="Times New Roman" w:hAnsi="Times New Roman" w:cs="Times New Roman"/>
                <w:i/>
                <w:lang w:val="en-US"/>
              </w:rPr>
              <w:t>the EU (</w:t>
            </w:r>
            <w:r w:rsidRPr="00AA6DC8">
              <w:rPr>
                <w:rFonts w:ascii="Times New Roman" w:eastAsia="Times New Roman" w:hAnsi="Times New Roman" w:cs="Times New Roman"/>
                <w:bCs/>
                <w:i/>
                <w:lang w:val="en-US"/>
              </w:rPr>
              <w:t>N)</w:t>
            </w:r>
          </w:p>
        </w:tc>
        <w:tc>
          <w:tcPr>
            <w:tcW w:w="1165" w:type="dxa"/>
          </w:tcPr>
          <w:p w14:paraId="1B1B0E94" w14:textId="457DA9E7" w:rsidR="00DA4E53" w:rsidRPr="00AA6DC8" w:rsidRDefault="00DA4E53" w:rsidP="00DA4E53">
            <w:pPr>
              <w:jc w:val="center"/>
              <w:rPr>
                <w:rFonts w:ascii="Times New Roman" w:eastAsia="Times New Roman" w:hAnsi="Times New Roman" w:cs="Times New Roman"/>
                <w:lang w:val="en-US"/>
              </w:rPr>
            </w:pPr>
          </w:p>
        </w:tc>
        <w:tc>
          <w:tcPr>
            <w:tcW w:w="1094" w:type="dxa"/>
          </w:tcPr>
          <w:p w14:paraId="780B10A4" w14:textId="153C0284"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102,101 </w:t>
            </w:r>
          </w:p>
        </w:tc>
        <w:tc>
          <w:tcPr>
            <w:tcW w:w="1055" w:type="dxa"/>
            <w:hideMark/>
          </w:tcPr>
          <w:p w14:paraId="5B8A4B5A" w14:textId="50D3969E"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3.70%</w:t>
            </w:r>
          </w:p>
        </w:tc>
        <w:tc>
          <w:tcPr>
            <w:tcW w:w="1274" w:type="dxa"/>
          </w:tcPr>
          <w:p w14:paraId="6379AB90" w14:textId="163E90E3" w:rsidR="00DA4E53" w:rsidRPr="00AA6DC8" w:rsidRDefault="00DA4E53" w:rsidP="00DA4E53">
            <w:pPr>
              <w:jc w:val="center"/>
              <w:rPr>
                <w:rFonts w:ascii="Times New Roman" w:eastAsia="Times New Roman" w:hAnsi="Times New Roman" w:cs="Times New Roman"/>
                <w:bCs/>
                <w:bdr w:val="none" w:sz="0" w:space="0" w:color="auto" w:frame="1"/>
              </w:rPr>
            </w:pPr>
            <w:r w:rsidRPr="00AA6DC8">
              <w:rPr>
                <w:rFonts w:ascii="Times New Roman" w:hAnsi="Times New Roman" w:cs="Times New Roman"/>
              </w:rPr>
              <w:t>-4.40%</w:t>
            </w:r>
          </w:p>
        </w:tc>
        <w:tc>
          <w:tcPr>
            <w:tcW w:w="770" w:type="dxa"/>
            <w:hideMark/>
          </w:tcPr>
          <w:p w14:paraId="4DB7946B" w14:textId="273AEB30"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b/>
                <w:bCs/>
                <w:bdr w:val="none" w:sz="0" w:space="0" w:color="auto" w:frame="1"/>
              </w:rPr>
              <w:t>0</w:t>
            </w:r>
          </w:p>
        </w:tc>
        <w:tc>
          <w:tcPr>
            <w:tcW w:w="891" w:type="dxa"/>
          </w:tcPr>
          <w:p w14:paraId="16C5B64C" w14:textId="65B647EB"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N/A</w:t>
            </w:r>
          </w:p>
        </w:tc>
        <w:tc>
          <w:tcPr>
            <w:tcW w:w="1047" w:type="dxa"/>
          </w:tcPr>
          <w:p w14:paraId="39EF4AE4" w14:textId="5F5465E8"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N/A</w:t>
            </w:r>
          </w:p>
        </w:tc>
      </w:tr>
      <w:tr w:rsidR="002611B9" w:rsidRPr="009424C5" w14:paraId="0432F72C" w14:textId="77777777" w:rsidTr="005419DA">
        <w:tc>
          <w:tcPr>
            <w:tcW w:w="1760" w:type="dxa"/>
            <w:hideMark/>
          </w:tcPr>
          <w:p w14:paraId="504AD754" w14:textId="6D0D7830" w:rsidR="00DA4E53" w:rsidRPr="00AA6DC8" w:rsidRDefault="00DA4E53" w:rsidP="00DA4E53">
            <w:pPr>
              <w:rPr>
                <w:rFonts w:ascii="Times New Roman" w:eastAsia="Times New Roman" w:hAnsi="Times New Roman" w:cs="Times New Roman"/>
                <w:b/>
              </w:rPr>
            </w:pPr>
            <w:r w:rsidRPr="00AA6DC8">
              <w:rPr>
                <w:rFonts w:ascii="Times New Roman" w:hAnsi="Times New Roman" w:cs="Times New Roman"/>
              </w:rPr>
              <w:t>Alternativet</w:t>
            </w:r>
            <w:r w:rsidR="00FF11E5" w:rsidRPr="00AA6DC8">
              <w:rPr>
                <w:rFonts w:ascii="Times New Roman" w:hAnsi="Times New Roman" w:cs="Times New Roman"/>
              </w:rPr>
              <w:t xml:space="preserve"> (Å)</w:t>
            </w:r>
          </w:p>
        </w:tc>
        <w:tc>
          <w:tcPr>
            <w:tcW w:w="1165" w:type="dxa"/>
          </w:tcPr>
          <w:p w14:paraId="6233A008" w14:textId="77777777" w:rsidR="00DA4E53" w:rsidRPr="00AA6DC8" w:rsidRDefault="00DA4E53" w:rsidP="00DA4E53">
            <w:pPr>
              <w:jc w:val="center"/>
              <w:rPr>
                <w:rFonts w:ascii="Times New Roman" w:eastAsia="Times New Roman" w:hAnsi="Times New Roman" w:cs="Times New Roman"/>
              </w:rPr>
            </w:pPr>
          </w:p>
        </w:tc>
        <w:tc>
          <w:tcPr>
            <w:tcW w:w="1094" w:type="dxa"/>
          </w:tcPr>
          <w:p w14:paraId="718F5009" w14:textId="3A39307C"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92,964 </w:t>
            </w:r>
          </w:p>
        </w:tc>
        <w:tc>
          <w:tcPr>
            <w:tcW w:w="1055" w:type="dxa"/>
            <w:hideMark/>
          </w:tcPr>
          <w:p w14:paraId="21FE5026" w14:textId="7BB94A82"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3.37%</w:t>
            </w:r>
          </w:p>
        </w:tc>
        <w:tc>
          <w:tcPr>
            <w:tcW w:w="1274" w:type="dxa"/>
          </w:tcPr>
          <w:p w14:paraId="3455846B" w14:textId="57DDE34F"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N/A</w:t>
            </w:r>
          </w:p>
        </w:tc>
        <w:tc>
          <w:tcPr>
            <w:tcW w:w="770" w:type="dxa"/>
            <w:hideMark/>
          </w:tcPr>
          <w:p w14:paraId="4FC5C2B4" w14:textId="77777777" w:rsidR="00DA4E53" w:rsidRPr="00AA6DC8" w:rsidRDefault="00DA4E53" w:rsidP="00DA4E53">
            <w:pPr>
              <w:jc w:val="center"/>
              <w:rPr>
                <w:rFonts w:ascii="Times New Roman" w:eastAsia="Times New Roman" w:hAnsi="Times New Roman" w:cs="Times New Roman"/>
                <w:b/>
              </w:rPr>
            </w:pPr>
            <w:r w:rsidRPr="00AA6DC8">
              <w:rPr>
                <w:rFonts w:ascii="Times New Roman" w:eastAsia="Times New Roman" w:hAnsi="Times New Roman" w:cs="Times New Roman"/>
                <w:b/>
              </w:rPr>
              <w:t>0</w:t>
            </w:r>
          </w:p>
        </w:tc>
        <w:tc>
          <w:tcPr>
            <w:tcW w:w="891" w:type="dxa"/>
          </w:tcPr>
          <w:p w14:paraId="70CB5851" w14:textId="1D6EC13D"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3,0%</w:t>
            </w:r>
          </w:p>
        </w:tc>
        <w:tc>
          <w:tcPr>
            <w:tcW w:w="1047" w:type="dxa"/>
          </w:tcPr>
          <w:p w14:paraId="44080EF7" w14:textId="0C815FC5"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-0.37%</w:t>
            </w:r>
          </w:p>
        </w:tc>
      </w:tr>
      <w:tr w:rsidR="002611B9" w:rsidRPr="009424C5" w14:paraId="5EFF8FEC" w14:textId="77777777" w:rsidTr="005419DA">
        <w:trPr>
          <w:trHeight w:val="14"/>
        </w:trPr>
        <w:tc>
          <w:tcPr>
            <w:tcW w:w="1760" w:type="dxa"/>
            <w:hideMark/>
          </w:tcPr>
          <w:p w14:paraId="3240F381" w14:textId="5DB2A1B3" w:rsidR="00DA4E53" w:rsidRPr="00AA6DC8" w:rsidRDefault="00DA4E53" w:rsidP="00FF11E5">
            <w:pPr>
              <w:rPr>
                <w:rFonts w:ascii="Times New Roman" w:eastAsia="Times New Roman" w:hAnsi="Times New Roman" w:cs="Times New Roman"/>
                <w:b/>
              </w:rPr>
            </w:pPr>
            <w:r w:rsidRPr="00AA6DC8">
              <w:rPr>
                <w:rFonts w:ascii="Times New Roman" w:hAnsi="Times New Roman" w:cs="Times New Roman"/>
              </w:rPr>
              <w:t>Liberal Alliance</w:t>
            </w:r>
            <w:r w:rsidR="00FF11E5" w:rsidRPr="00AA6DC8">
              <w:rPr>
                <w:rFonts w:ascii="Times New Roman" w:hAnsi="Times New Roman" w:cs="Times New Roman"/>
              </w:rPr>
              <w:t xml:space="preserve"> (I)</w:t>
            </w:r>
          </w:p>
        </w:tc>
        <w:tc>
          <w:tcPr>
            <w:tcW w:w="1165" w:type="dxa"/>
          </w:tcPr>
          <w:p w14:paraId="00CA6F43" w14:textId="77777777" w:rsidR="00DA4E53" w:rsidRPr="00AA6DC8" w:rsidRDefault="00DA4E53" w:rsidP="00DA4E53">
            <w:pPr>
              <w:jc w:val="center"/>
              <w:rPr>
                <w:rFonts w:ascii="Times New Roman" w:eastAsia="Times New Roman" w:hAnsi="Times New Roman" w:cs="Times New Roman"/>
              </w:rPr>
            </w:pPr>
          </w:p>
        </w:tc>
        <w:tc>
          <w:tcPr>
            <w:tcW w:w="1094" w:type="dxa"/>
          </w:tcPr>
          <w:p w14:paraId="711B172F" w14:textId="3F05D72B"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 xml:space="preserve">60,693 </w:t>
            </w:r>
          </w:p>
        </w:tc>
        <w:tc>
          <w:tcPr>
            <w:tcW w:w="1055" w:type="dxa"/>
            <w:hideMark/>
          </w:tcPr>
          <w:p w14:paraId="3755489B" w14:textId="6B329A32" w:rsidR="00DA4E53" w:rsidRPr="00AA6DC8" w:rsidRDefault="00DA4E53" w:rsidP="00DA4E53">
            <w:pPr>
              <w:jc w:val="center"/>
              <w:rPr>
                <w:rFonts w:ascii="Times New Roman" w:eastAsia="Times New Roman" w:hAnsi="Times New Roman" w:cs="Times New Roman"/>
              </w:rPr>
            </w:pPr>
            <w:r w:rsidRPr="00AA6DC8">
              <w:rPr>
                <w:rFonts w:ascii="Times New Roman" w:eastAsia="Times New Roman" w:hAnsi="Times New Roman" w:cs="Times New Roman"/>
              </w:rPr>
              <w:t>2.20%</w:t>
            </w:r>
          </w:p>
        </w:tc>
        <w:tc>
          <w:tcPr>
            <w:tcW w:w="1274" w:type="dxa"/>
          </w:tcPr>
          <w:p w14:paraId="5DCF424A" w14:textId="4ADE8D1A"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N/A</w:t>
            </w:r>
          </w:p>
        </w:tc>
        <w:tc>
          <w:tcPr>
            <w:tcW w:w="770" w:type="dxa"/>
            <w:hideMark/>
          </w:tcPr>
          <w:p w14:paraId="732F04DE" w14:textId="77777777" w:rsidR="00DA4E53" w:rsidRPr="00AA6DC8" w:rsidRDefault="00DA4E53" w:rsidP="00DA4E53">
            <w:pPr>
              <w:jc w:val="center"/>
              <w:rPr>
                <w:rFonts w:ascii="Times New Roman" w:eastAsia="Times New Roman" w:hAnsi="Times New Roman" w:cs="Times New Roman"/>
                <w:b/>
              </w:rPr>
            </w:pPr>
            <w:r w:rsidRPr="00AA6DC8">
              <w:rPr>
                <w:rFonts w:ascii="Times New Roman" w:eastAsia="Times New Roman" w:hAnsi="Times New Roman" w:cs="Times New Roman"/>
                <w:b/>
              </w:rPr>
              <w:t>0</w:t>
            </w:r>
          </w:p>
        </w:tc>
        <w:tc>
          <w:tcPr>
            <w:tcW w:w="891" w:type="dxa"/>
          </w:tcPr>
          <w:p w14:paraId="6DDABFBE" w14:textId="1BB97D34" w:rsidR="00DA4E53" w:rsidRPr="00AA6DC8" w:rsidRDefault="00DA4E53" w:rsidP="00DA4E53">
            <w:pPr>
              <w:jc w:val="center"/>
              <w:rPr>
                <w:rFonts w:ascii="Times New Roman" w:eastAsia="Times New Roman" w:hAnsi="Times New Roman" w:cs="Times New Roman"/>
              </w:rPr>
            </w:pPr>
            <w:r w:rsidRPr="00AA6DC8">
              <w:rPr>
                <w:rFonts w:ascii="Times New Roman" w:hAnsi="Times New Roman" w:cs="Times New Roman"/>
              </w:rPr>
              <w:t>2,3%</w:t>
            </w:r>
          </w:p>
        </w:tc>
        <w:tc>
          <w:tcPr>
            <w:tcW w:w="1047" w:type="dxa"/>
          </w:tcPr>
          <w:p w14:paraId="7BFAC90A" w14:textId="2F8DFDDF" w:rsidR="00DA4E53" w:rsidRPr="00AA6DC8" w:rsidRDefault="00AE0379" w:rsidP="00DA4E53">
            <w:pPr>
              <w:jc w:val="center"/>
              <w:rPr>
                <w:rFonts w:ascii="Times New Roman" w:hAnsi="Times New Roman" w:cs="Times New Roman"/>
              </w:rPr>
            </w:pPr>
            <w:r w:rsidRPr="00AA6DC8">
              <w:rPr>
                <w:rFonts w:ascii="Times New Roman" w:hAnsi="Times New Roman" w:cs="Times New Roman"/>
              </w:rPr>
              <w:t>+</w:t>
            </w:r>
            <w:r w:rsidR="00DA4E53" w:rsidRPr="00AA6DC8">
              <w:rPr>
                <w:rFonts w:ascii="Times New Roman" w:hAnsi="Times New Roman" w:cs="Times New Roman"/>
              </w:rPr>
              <w:t>0.10%</w:t>
            </w:r>
          </w:p>
        </w:tc>
      </w:tr>
    </w:tbl>
    <w:p w14:paraId="77015CEF" w14:textId="77777777" w:rsidR="005419DA" w:rsidRPr="00AA6DC8" w:rsidRDefault="005419DA" w:rsidP="005419DA">
      <w:pPr>
        <w:spacing w:line="360" w:lineRule="auto"/>
        <w:jc w:val="both"/>
        <w:rPr>
          <w:rFonts w:ascii="Times New Roman" w:hAnsi="Times New Roman" w:cs="Times New Roman"/>
          <w:b/>
          <w:lang w:val="en-US"/>
        </w:rPr>
      </w:pPr>
    </w:p>
    <w:p w14:paraId="3489B979" w14:textId="3715978C" w:rsidR="00D65227" w:rsidRPr="00AA6DC8" w:rsidRDefault="005419DA" w:rsidP="00D65227">
      <w:pPr>
        <w:spacing w:line="360" w:lineRule="auto"/>
        <w:jc w:val="both"/>
        <w:rPr>
          <w:rFonts w:ascii="Times New Roman" w:hAnsi="Times New Roman" w:cs="Times New Roman"/>
          <w:lang w:val="en-US"/>
        </w:rPr>
      </w:pPr>
      <w:r w:rsidRPr="00AA6DC8">
        <w:rPr>
          <w:rFonts w:ascii="Times New Roman" w:hAnsi="Times New Roman" w:cs="Times New Roman"/>
          <w:b/>
          <w:lang w:val="en-US"/>
        </w:rPr>
        <w:t>Sourc</w:t>
      </w:r>
      <w:r w:rsidRPr="005370EB">
        <w:rPr>
          <w:rFonts w:ascii="Times New Roman" w:hAnsi="Times New Roman" w:cs="Times New Roman"/>
          <w:b/>
          <w:lang w:val="en-US"/>
        </w:rPr>
        <w:t>e</w:t>
      </w:r>
      <w:r w:rsidR="005370EB">
        <w:rPr>
          <w:rFonts w:ascii="Times New Roman" w:hAnsi="Times New Roman" w:cs="Times New Roman"/>
          <w:b/>
          <w:lang w:val="en-US"/>
        </w:rPr>
        <w:t>s</w:t>
      </w:r>
      <w:r w:rsidRPr="005370EB">
        <w:rPr>
          <w:rFonts w:ascii="Times New Roman" w:hAnsi="Times New Roman" w:cs="Times New Roman"/>
          <w:lang w:val="en-US"/>
        </w:rPr>
        <w:t xml:space="preserve">: </w:t>
      </w:r>
      <w:r w:rsidRPr="00AA6DC8">
        <w:rPr>
          <w:rFonts w:ascii="Times New Roman" w:hAnsi="Times New Roman" w:cs="Times New Roman"/>
          <w:lang w:val="en-US"/>
        </w:rPr>
        <w:t>European Parliament website</w:t>
      </w:r>
      <w:r w:rsidRPr="00AA6DC8">
        <w:rPr>
          <w:rFonts w:ascii="Times New Roman" w:hAnsi="Times New Roman" w:cs="Times New Roman"/>
          <w:b/>
          <w:lang w:val="en-US"/>
        </w:rPr>
        <w:t xml:space="preserve"> (</w:t>
      </w:r>
      <w:r w:rsidR="005370EB" w:rsidRPr="00AA6DC8">
        <w:rPr>
          <w:rFonts w:ascii="Times New Roman" w:hAnsi="Times New Roman" w:cs="Times New Roman"/>
          <w:lang w:val="en-US"/>
        </w:rPr>
        <w:t>www.election-results.eu/denmark</w:t>
      </w:r>
      <w:r w:rsidRPr="00AA6DC8">
        <w:rPr>
          <w:rFonts w:ascii="Times New Roman" w:hAnsi="Times New Roman" w:cs="Times New Roman"/>
          <w:lang w:val="en-US"/>
        </w:rPr>
        <w:t>)</w:t>
      </w:r>
      <w:r w:rsidR="00AA6DC8">
        <w:rPr>
          <w:rFonts w:ascii="Times New Roman" w:hAnsi="Times New Roman" w:cs="Times New Roman"/>
          <w:lang w:val="en-US"/>
        </w:rPr>
        <w:t>;</w:t>
      </w:r>
      <w:r w:rsidRPr="00AA6DC8">
        <w:rPr>
          <w:rFonts w:ascii="Times New Roman" w:hAnsi="Times New Roman" w:cs="Times New Roman"/>
          <w:lang w:val="en-US"/>
        </w:rPr>
        <w:t xml:space="preserve"> Statistics Denmark (</w:t>
      </w:r>
      <w:r w:rsidR="00D65227" w:rsidRPr="00AA6DC8">
        <w:rPr>
          <w:rFonts w:ascii="Times New Roman" w:hAnsi="Times New Roman" w:cs="Times New Roman"/>
          <w:lang w:val="en-US"/>
        </w:rPr>
        <w:t>www.dst.dk</w:t>
      </w:r>
      <w:r w:rsidRPr="00AA6DC8">
        <w:rPr>
          <w:rFonts w:ascii="Times New Roman" w:hAnsi="Times New Roman" w:cs="Times New Roman"/>
          <w:lang w:val="en-US"/>
        </w:rPr>
        <w:t>).</w:t>
      </w:r>
      <w:r w:rsidR="00D65227" w:rsidRPr="00AA6DC8">
        <w:rPr>
          <w:rFonts w:ascii="Times New Roman" w:hAnsi="Times New Roman" w:cs="Times New Roman"/>
          <w:lang w:val="en-US"/>
        </w:rPr>
        <w:t xml:space="preserve"> </w:t>
      </w:r>
    </w:p>
    <w:p w14:paraId="7639B57F" w14:textId="77777777" w:rsidR="00D65227" w:rsidRPr="00AA6DC8" w:rsidRDefault="00D65227" w:rsidP="00D65227">
      <w:pPr>
        <w:spacing w:line="360" w:lineRule="auto"/>
        <w:jc w:val="both"/>
        <w:rPr>
          <w:rFonts w:ascii="Times New Roman" w:hAnsi="Times New Roman" w:cs="Times New Roman"/>
          <w:lang w:val="en-US"/>
        </w:rPr>
      </w:pPr>
    </w:p>
    <w:p w14:paraId="1AE90CB9" w14:textId="01D6F3FF" w:rsidR="007F3F36" w:rsidRPr="00467810" w:rsidRDefault="005D00AB" w:rsidP="00D65227">
      <w:pPr>
        <w:spacing w:line="360" w:lineRule="auto"/>
        <w:ind w:firstLine="708"/>
        <w:jc w:val="both"/>
        <w:rPr>
          <w:rFonts w:ascii="Times New Roman" w:hAnsi="Times New Roman" w:cs="Times New Roman"/>
          <w:lang w:val="en-US"/>
        </w:rPr>
      </w:pPr>
      <w:r w:rsidRPr="007F3F36">
        <w:rPr>
          <w:rFonts w:ascii="Times New Roman" w:hAnsi="Times New Roman" w:cs="Times New Roman"/>
          <w:lang w:val="en-US"/>
        </w:rPr>
        <w:t>On the face of it, these results do not seem to indicate a second-order election: in such elections, it is predicted that smaller</w:t>
      </w:r>
      <w:r w:rsidR="001018A0" w:rsidRPr="007F3F36">
        <w:rPr>
          <w:rFonts w:ascii="Times New Roman" w:hAnsi="Times New Roman" w:cs="Times New Roman"/>
          <w:lang w:val="en-US"/>
        </w:rPr>
        <w:t xml:space="preserve"> and non-governing</w:t>
      </w:r>
      <w:r w:rsidRPr="007F3F36">
        <w:rPr>
          <w:rFonts w:ascii="Times New Roman" w:hAnsi="Times New Roman" w:cs="Times New Roman"/>
          <w:lang w:val="en-US"/>
        </w:rPr>
        <w:t xml:space="preserve"> parties will </w:t>
      </w:r>
      <w:r w:rsidR="00E55315">
        <w:rPr>
          <w:rFonts w:ascii="Times New Roman" w:hAnsi="Times New Roman" w:cs="Times New Roman"/>
          <w:lang w:val="en-US"/>
        </w:rPr>
        <w:t>tend to profit, with voters using the perceived lack of importance of the contest to vote ‘with the heart’</w:t>
      </w:r>
      <w:r w:rsidR="0000775B">
        <w:rPr>
          <w:rFonts w:ascii="Times New Roman" w:hAnsi="Times New Roman" w:cs="Times New Roman"/>
          <w:lang w:val="en-US"/>
        </w:rPr>
        <w:t xml:space="preserve">, rather than to strategically affect the make-up of the future national government and parliament; and also to </w:t>
      </w:r>
      <w:r w:rsidR="00E55315">
        <w:rPr>
          <w:rFonts w:ascii="Times New Roman" w:hAnsi="Times New Roman" w:cs="Times New Roman"/>
          <w:lang w:val="en-US"/>
        </w:rPr>
        <w:t>potentially send a signal of discontent</w:t>
      </w:r>
      <w:r w:rsidR="0000775B">
        <w:rPr>
          <w:rFonts w:ascii="Times New Roman" w:hAnsi="Times New Roman" w:cs="Times New Roman"/>
          <w:lang w:val="en-US"/>
        </w:rPr>
        <w:t xml:space="preserve"> to the national government, in the hope that this may lead to a change in policy at the national level</w:t>
      </w:r>
      <w:r w:rsidR="00E55315">
        <w:rPr>
          <w:rFonts w:ascii="Times New Roman" w:hAnsi="Times New Roman" w:cs="Times New Roman"/>
          <w:lang w:val="en-US"/>
        </w:rPr>
        <w:t xml:space="preserve"> </w:t>
      </w:r>
      <w:r w:rsidRPr="007F3F36">
        <w:rPr>
          <w:rFonts w:ascii="Times New Roman" w:hAnsi="Times New Roman" w:cs="Times New Roman"/>
          <w:lang w:val="en-US"/>
        </w:rPr>
        <w:t>(</w:t>
      </w:r>
      <w:proofErr w:type="spellStart"/>
      <w:r w:rsidRPr="007F3F36">
        <w:rPr>
          <w:rFonts w:ascii="Times New Roman" w:eastAsia="Times New Roman" w:hAnsi="Times New Roman" w:cs="Times New Roman"/>
          <w:lang w:val="en-US"/>
        </w:rPr>
        <w:t>Hix</w:t>
      </w:r>
      <w:proofErr w:type="spellEnd"/>
      <w:r w:rsidRPr="007F3F36">
        <w:rPr>
          <w:rFonts w:ascii="Times New Roman" w:eastAsia="Times New Roman" w:hAnsi="Times New Roman" w:cs="Times New Roman"/>
          <w:lang w:val="en-US"/>
        </w:rPr>
        <w:t xml:space="preserve"> and Marsh 2007).</w:t>
      </w:r>
      <w:r w:rsidRPr="007F3F36">
        <w:rPr>
          <w:rFonts w:ascii="Times New Roman" w:hAnsi="Times New Roman" w:cs="Times New Roman"/>
          <w:lang w:val="en-US"/>
        </w:rPr>
        <w:t xml:space="preserve"> </w:t>
      </w:r>
      <w:r w:rsidR="006C17C4" w:rsidRPr="00467810">
        <w:rPr>
          <w:rFonts w:ascii="Times New Roman" w:hAnsi="Times New Roman" w:cs="Times New Roman"/>
          <w:lang w:val="en-US"/>
        </w:rPr>
        <w:t xml:space="preserve">However, </w:t>
      </w:r>
      <w:proofErr w:type="spellStart"/>
      <w:r w:rsidR="006C17C4" w:rsidRPr="00467810">
        <w:rPr>
          <w:rFonts w:ascii="Times New Roman" w:hAnsi="Times New Roman" w:cs="Times New Roman"/>
          <w:lang w:val="en-US"/>
        </w:rPr>
        <w:t>Venstre</w:t>
      </w:r>
      <w:proofErr w:type="spellEnd"/>
      <w:r w:rsidR="006C17C4" w:rsidRPr="00467810">
        <w:rPr>
          <w:rFonts w:ascii="Times New Roman" w:hAnsi="Times New Roman" w:cs="Times New Roman"/>
          <w:lang w:val="en-US"/>
        </w:rPr>
        <w:t xml:space="preserve"> (V)</w:t>
      </w:r>
      <w:r w:rsidR="00CA2DB7" w:rsidRPr="007F3F36">
        <w:rPr>
          <w:rFonts w:ascii="Times New Roman" w:hAnsi="Times New Roman" w:cs="Times New Roman"/>
          <w:lang w:val="en-US"/>
        </w:rPr>
        <w:t xml:space="preserve"> and the Social Democrats (A)</w:t>
      </w:r>
      <w:r w:rsidR="006C17C4" w:rsidRPr="00467810">
        <w:rPr>
          <w:rFonts w:ascii="Times New Roman" w:hAnsi="Times New Roman" w:cs="Times New Roman"/>
          <w:lang w:val="en-US"/>
        </w:rPr>
        <w:t xml:space="preserve">, </w:t>
      </w:r>
      <w:r w:rsidR="00F91482" w:rsidRPr="007F3F36">
        <w:rPr>
          <w:rFonts w:ascii="Times New Roman" w:hAnsi="Times New Roman" w:cs="Times New Roman"/>
          <w:lang w:val="en-US"/>
        </w:rPr>
        <w:t>the two biggest winners in the 2019 Danish national election held 10 days after the EP election</w:t>
      </w:r>
      <w:r w:rsidR="001018A0" w:rsidRPr="007F3F36">
        <w:rPr>
          <w:rFonts w:ascii="Times New Roman" w:hAnsi="Times New Roman" w:cs="Times New Roman"/>
          <w:lang w:val="en-US"/>
        </w:rPr>
        <w:t xml:space="preserve"> (the former also the largest party in Denmark’s governing coalition</w:t>
      </w:r>
      <w:r w:rsidR="00930DBB" w:rsidRPr="007F3F36">
        <w:rPr>
          <w:rFonts w:ascii="Times New Roman" w:hAnsi="Times New Roman" w:cs="Times New Roman"/>
          <w:lang w:val="en-US"/>
        </w:rPr>
        <w:t xml:space="preserve"> running up to the election</w:t>
      </w:r>
      <w:r w:rsidR="001018A0" w:rsidRPr="007F3F36">
        <w:rPr>
          <w:rFonts w:ascii="Times New Roman" w:hAnsi="Times New Roman" w:cs="Times New Roman"/>
          <w:lang w:val="en-US"/>
        </w:rPr>
        <w:t>)</w:t>
      </w:r>
      <w:r w:rsidR="00F91482" w:rsidRPr="007F3F36">
        <w:rPr>
          <w:rFonts w:ascii="Times New Roman" w:hAnsi="Times New Roman" w:cs="Times New Roman"/>
          <w:lang w:val="en-US"/>
        </w:rPr>
        <w:t>, also</w:t>
      </w:r>
      <w:r w:rsidR="006C17C4" w:rsidRPr="00467810">
        <w:rPr>
          <w:rFonts w:ascii="Times New Roman" w:hAnsi="Times New Roman" w:cs="Times New Roman"/>
          <w:lang w:val="en-US"/>
        </w:rPr>
        <w:t xml:space="preserve"> won the most votes in </w:t>
      </w:r>
      <w:r w:rsidR="007714D4" w:rsidRPr="007F3F36">
        <w:rPr>
          <w:rFonts w:ascii="Times New Roman" w:hAnsi="Times New Roman" w:cs="Times New Roman"/>
          <w:lang w:val="en-US"/>
        </w:rPr>
        <w:t>the EP election</w:t>
      </w:r>
      <w:r w:rsidR="006C17C4" w:rsidRPr="00467810">
        <w:rPr>
          <w:rFonts w:ascii="Times New Roman" w:hAnsi="Times New Roman" w:cs="Times New Roman"/>
          <w:lang w:val="en-US"/>
        </w:rPr>
        <w:t xml:space="preserve">. Meanwhile, </w:t>
      </w:r>
      <w:r w:rsidR="00F54FBE" w:rsidRPr="00E5328D">
        <w:rPr>
          <w:rFonts w:ascii="Times New Roman" w:hAnsi="Times New Roman" w:cs="Times New Roman"/>
          <w:lang w:val="en-US"/>
        </w:rPr>
        <w:t xml:space="preserve">there is little evidence </w:t>
      </w:r>
      <w:r w:rsidR="00277E91" w:rsidRPr="00E5328D">
        <w:rPr>
          <w:rFonts w:ascii="Times New Roman" w:hAnsi="Times New Roman" w:cs="Times New Roman"/>
          <w:lang w:val="en-US"/>
        </w:rPr>
        <w:t>in general of a surge in support for smaller parties relative to the national</w:t>
      </w:r>
      <w:r w:rsidR="00467810" w:rsidRPr="00E5328D">
        <w:rPr>
          <w:rFonts w:ascii="Times New Roman" w:hAnsi="Times New Roman" w:cs="Times New Roman"/>
          <w:lang w:val="en-US"/>
        </w:rPr>
        <w:t xml:space="preserve"> election</w:t>
      </w:r>
      <w:r w:rsidR="00E5328D">
        <w:rPr>
          <w:rFonts w:ascii="Times New Roman" w:hAnsi="Times New Roman" w:cs="Times New Roman"/>
          <w:lang w:val="en-US"/>
        </w:rPr>
        <w:t xml:space="preserve"> (the largest positive difference is +1.5%</w:t>
      </w:r>
      <w:r w:rsidR="009D6E04">
        <w:rPr>
          <w:rFonts w:ascii="Times New Roman" w:hAnsi="Times New Roman" w:cs="Times New Roman"/>
          <w:lang w:val="en-US"/>
        </w:rPr>
        <w:t>-point</w:t>
      </w:r>
      <w:r w:rsidR="00F2690A">
        <w:rPr>
          <w:rFonts w:ascii="Times New Roman" w:hAnsi="Times New Roman" w:cs="Times New Roman"/>
          <w:lang w:val="en-US"/>
        </w:rPr>
        <w:t>s</w:t>
      </w:r>
      <w:r w:rsidR="00E5328D">
        <w:rPr>
          <w:rFonts w:ascii="Times New Roman" w:hAnsi="Times New Roman" w:cs="Times New Roman"/>
          <w:lang w:val="en-US"/>
        </w:rPr>
        <w:t xml:space="preserve"> for </w:t>
      </w:r>
      <w:proofErr w:type="spellStart"/>
      <w:r w:rsidR="00E5328D" w:rsidRPr="00E5328D">
        <w:rPr>
          <w:rFonts w:ascii="Times New Roman" w:hAnsi="Times New Roman" w:cs="Times New Roman"/>
          <w:lang w:val="en-US"/>
        </w:rPr>
        <w:t>Enhedslisten</w:t>
      </w:r>
      <w:proofErr w:type="spellEnd"/>
      <w:r w:rsidR="00E5328D">
        <w:rPr>
          <w:rFonts w:ascii="Times New Roman" w:hAnsi="Times New Roman" w:cs="Times New Roman"/>
          <w:lang w:val="en-US"/>
        </w:rPr>
        <w:t>)</w:t>
      </w:r>
      <w:r w:rsidR="00E5328D" w:rsidRPr="00E5328D">
        <w:rPr>
          <w:rFonts w:ascii="Times New Roman" w:hAnsi="Times New Roman" w:cs="Times New Roman"/>
          <w:lang w:val="en-US"/>
        </w:rPr>
        <w:t>, or non-governing parties</w:t>
      </w:r>
      <w:r w:rsidR="00E5328D">
        <w:rPr>
          <w:rStyle w:val="Fodnotehenvisning"/>
          <w:rFonts w:ascii="Times New Roman" w:hAnsi="Times New Roman" w:cs="Times New Roman"/>
          <w:lang w:val="en-US"/>
        </w:rPr>
        <w:footnoteReference w:id="4"/>
      </w:r>
      <w:r w:rsidR="00E5328D" w:rsidRPr="00E5328D">
        <w:rPr>
          <w:rFonts w:ascii="Times New Roman" w:hAnsi="Times New Roman" w:cs="Times New Roman"/>
          <w:lang w:val="en-US"/>
        </w:rPr>
        <w:t xml:space="preserve"> (</w:t>
      </w:r>
      <w:r w:rsidR="00E5328D">
        <w:rPr>
          <w:rFonts w:ascii="Times New Roman" w:hAnsi="Times New Roman" w:cs="Times New Roman"/>
          <w:lang w:val="en-US"/>
        </w:rPr>
        <w:t>the largest difference is +4.4</w:t>
      </w:r>
      <w:r w:rsidR="00E5328D" w:rsidRPr="00E5328D">
        <w:rPr>
          <w:rFonts w:ascii="Times New Roman" w:hAnsi="Times New Roman" w:cs="Times New Roman"/>
          <w:lang w:val="en-US"/>
        </w:rPr>
        <w:t>%</w:t>
      </w:r>
      <w:r w:rsidR="009D6E04">
        <w:rPr>
          <w:rFonts w:ascii="Times New Roman" w:hAnsi="Times New Roman" w:cs="Times New Roman"/>
          <w:lang w:val="en-US"/>
        </w:rPr>
        <w:t>-point</w:t>
      </w:r>
      <w:r w:rsidR="00E5328D">
        <w:rPr>
          <w:rFonts w:ascii="Times New Roman" w:hAnsi="Times New Roman" w:cs="Times New Roman"/>
          <w:lang w:val="en-US"/>
        </w:rPr>
        <w:t xml:space="preserve"> for the </w:t>
      </w:r>
      <w:r w:rsidR="00E5328D" w:rsidRPr="00E5328D">
        <w:rPr>
          <w:rFonts w:ascii="Times New Roman" w:hAnsi="Times New Roman" w:cs="Times New Roman"/>
          <w:lang w:val="en-US"/>
        </w:rPr>
        <w:t>Social Democrats</w:t>
      </w:r>
      <w:r w:rsidR="00244115">
        <w:rPr>
          <w:rFonts w:ascii="Times New Roman" w:hAnsi="Times New Roman" w:cs="Times New Roman"/>
          <w:lang w:val="en-US"/>
        </w:rPr>
        <w:t>)</w:t>
      </w:r>
      <w:r w:rsidR="00E5328D" w:rsidRPr="00AA6DC8">
        <w:rPr>
          <w:rFonts w:ascii="Times New Roman" w:hAnsi="Times New Roman" w:cs="Times New Roman"/>
          <w:lang w:val="en-US"/>
        </w:rPr>
        <w:t>.</w:t>
      </w:r>
      <w:r w:rsidR="00E5328D">
        <w:rPr>
          <w:lang w:val="en-US"/>
        </w:rPr>
        <w:t xml:space="preserve"> </w:t>
      </w:r>
      <w:r w:rsidR="007F3F36" w:rsidRPr="00467810">
        <w:rPr>
          <w:rFonts w:ascii="Times New Roman" w:hAnsi="Times New Roman" w:cs="Times New Roman"/>
          <w:lang w:val="en-US"/>
        </w:rPr>
        <w:t>However, the theory of second-</w:t>
      </w:r>
      <w:proofErr w:type="spellStart"/>
      <w:r w:rsidR="007F3F36" w:rsidRPr="00467810">
        <w:rPr>
          <w:rFonts w:ascii="Times New Roman" w:hAnsi="Times New Roman" w:cs="Times New Roman"/>
          <w:lang w:val="en-US"/>
        </w:rPr>
        <w:t>orderness</w:t>
      </w:r>
      <w:proofErr w:type="spellEnd"/>
      <w:r w:rsidR="007F3F36" w:rsidRPr="00467810">
        <w:rPr>
          <w:rFonts w:ascii="Times New Roman" w:hAnsi="Times New Roman" w:cs="Times New Roman"/>
          <w:lang w:val="en-US"/>
        </w:rPr>
        <w:t xml:space="preserve"> appears to be in need to adaption to the Danish context: the theory’s major expectations were developed assuming the ‘normal’ scenario of an EP election taking place in the middle of a national electoral cycle, not within two weeks of a national election. </w:t>
      </w:r>
      <w:r w:rsidR="00467810">
        <w:rPr>
          <w:rFonts w:ascii="Times New Roman" w:hAnsi="Times New Roman" w:cs="Times New Roman"/>
          <w:lang w:val="en-US"/>
        </w:rPr>
        <w:t xml:space="preserve">In such a scenario, Franklin (2001) suggests that the EP election may become a </w:t>
      </w:r>
      <w:r w:rsidR="00467810" w:rsidRPr="00467810">
        <w:rPr>
          <w:rFonts w:ascii="Times New Roman" w:hAnsi="Times New Roman" w:cs="Times New Roman"/>
          <w:lang w:val="en-US"/>
        </w:rPr>
        <w:t>“barometer”</w:t>
      </w:r>
      <w:r w:rsidR="00467810">
        <w:rPr>
          <w:rFonts w:ascii="Times New Roman" w:hAnsi="Times New Roman" w:cs="Times New Roman"/>
          <w:lang w:val="en-US"/>
        </w:rPr>
        <w:t xml:space="preserve"> for the upcoming national contest (and thus secondary to it). </w:t>
      </w:r>
      <w:r w:rsidR="007F3F36" w:rsidRPr="00467810">
        <w:rPr>
          <w:rFonts w:ascii="Times New Roman" w:hAnsi="Times New Roman" w:cs="Times New Roman"/>
          <w:lang w:val="en-US"/>
        </w:rPr>
        <w:t xml:space="preserve">Given this, an indication in the </w:t>
      </w:r>
      <w:r w:rsidR="00F2690A">
        <w:rPr>
          <w:rFonts w:ascii="Times New Roman" w:hAnsi="Times New Roman" w:cs="Times New Roman"/>
          <w:lang w:val="en-US"/>
        </w:rPr>
        <w:t xml:space="preserve">voting patterns </w:t>
      </w:r>
      <w:r w:rsidR="007F3F36" w:rsidRPr="00467810">
        <w:rPr>
          <w:rFonts w:ascii="Times New Roman" w:hAnsi="Times New Roman" w:cs="Times New Roman"/>
          <w:lang w:val="en-US"/>
        </w:rPr>
        <w:t xml:space="preserve">that the Danish EP election was second-order would be if </w:t>
      </w:r>
      <w:r w:rsidR="00F2690A">
        <w:rPr>
          <w:rFonts w:ascii="Times New Roman" w:hAnsi="Times New Roman" w:cs="Times New Roman"/>
          <w:lang w:val="en-US"/>
        </w:rPr>
        <w:t>vote choice</w:t>
      </w:r>
      <w:r w:rsidR="007F3F36" w:rsidRPr="00467810">
        <w:rPr>
          <w:rFonts w:ascii="Times New Roman" w:hAnsi="Times New Roman" w:cs="Times New Roman"/>
          <w:lang w:val="en-US"/>
        </w:rPr>
        <w:t xml:space="preserve"> between the EP and </w:t>
      </w:r>
      <w:r w:rsidR="00F2690A">
        <w:rPr>
          <w:rFonts w:ascii="Times New Roman" w:hAnsi="Times New Roman" w:cs="Times New Roman"/>
          <w:lang w:val="en-US"/>
        </w:rPr>
        <w:t xml:space="preserve">subsequent </w:t>
      </w:r>
      <w:r w:rsidR="007F3F36" w:rsidRPr="00467810">
        <w:rPr>
          <w:rFonts w:ascii="Times New Roman" w:hAnsi="Times New Roman" w:cs="Times New Roman"/>
          <w:lang w:val="en-US"/>
        </w:rPr>
        <w:t>national election ar</w:t>
      </w:r>
      <w:r w:rsidR="00F2690A">
        <w:rPr>
          <w:rFonts w:ascii="Times New Roman" w:hAnsi="Times New Roman" w:cs="Times New Roman"/>
          <w:lang w:val="en-US"/>
        </w:rPr>
        <w:t>e largely</w:t>
      </w:r>
      <w:r w:rsidR="007F3F36" w:rsidRPr="00467810">
        <w:rPr>
          <w:rFonts w:ascii="Times New Roman" w:hAnsi="Times New Roman" w:cs="Times New Roman"/>
          <w:lang w:val="en-US"/>
        </w:rPr>
        <w:t xml:space="preserve"> the same, suggesting that, despite differences in the characters of the elections and the issues at stake, the EP election failed to distinguish itself from the national election campaign in which it was embedded. </w:t>
      </w:r>
    </w:p>
    <w:p w14:paraId="2F1C90DD" w14:textId="38417DEA" w:rsidR="00EC41CF" w:rsidRPr="00E5328D" w:rsidRDefault="00EC41CF" w:rsidP="00D65227">
      <w:pPr>
        <w:spacing w:line="360" w:lineRule="auto"/>
        <w:ind w:firstLine="708"/>
        <w:jc w:val="both"/>
        <w:rPr>
          <w:rFonts w:ascii="Times New Roman" w:hAnsi="Times New Roman" w:cs="Times New Roman"/>
          <w:lang w:val="en-US"/>
        </w:rPr>
      </w:pPr>
      <w:r w:rsidRPr="00E5328D">
        <w:rPr>
          <w:rFonts w:ascii="Times New Roman" w:hAnsi="Times New Roman" w:cs="Times New Roman"/>
          <w:lang w:val="en-US"/>
        </w:rPr>
        <w:t xml:space="preserve">To what extent was this the case? Referring again to the election results in Table 1, a comparison of vote difference between the </w:t>
      </w:r>
      <w:r w:rsidR="00E5328D">
        <w:rPr>
          <w:rFonts w:ascii="Times New Roman" w:hAnsi="Times New Roman" w:cs="Times New Roman"/>
          <w:lang w:val="en-US"/>
        </w:rPr>
        <w:t>nine</w:t>
      </w:r>
      <w:r w:rsidRPr="00E5328D">
        <w:rPr>
          <w:rFonts w:ascii="Times New Roman" w:hAnsi="Times New Roman" w:cs="Times New Roman"/>
          <w:lang w:val="en-US"/>
        </w:rPr>
        <w:t xml:space="preserve"> parties that stood in the EP election and then</w:t>
      </w:r>
      <w:r w:rsidR="00E5328D">
        <w:rPr>
          <w:rFonts w:ascii="Times New Roman" w:hAnsi="Times New Roman" w:cs="Times New Roman"/>
          <w:lang w:val="en-US"/>
        </w:rPr>
        <w:t xml:space="preserve"> again</w:t>
      </w:r>
      <w:r w:rsidRPr="00E5328D">
        <w:rPr>
          <w:rFonts w:ascii="Times New Roman" w:hAnsi="Times New Roman" w:cs="Times New Roman"/>
          <w:lang w:val="en-US"/>
        </w:rPr>
        <w:t xml:space="preserve"> </w:t>
      </w:r>
      <w:r w:rsidR="00E5328D">
        <w:rPr>
          <w:rFonts w:ascii="Times New Roman" w:hAnsi="Times New Roman" w:cs="Times New Roman"/>
          <w:lang w:val="en-US"/>
        </w:rPr>
        <w:t>ten</w:t>
      </w:r>
      <w:r w:rsidR="00E5328D" w:rsidRPr="00E5328D">
        <w:rPr>
          <w:rFonts w:ascii="Times New Roman" w:hAnsi="Times New Roman" w:cs="Times New Roman"/>
          <w:lang w:val="en-US"/>
        </w:rPr>
        <w:t xml:space="preserve"> </w:t>
      </w:r>
      <w:r w:rsidRPr="00E5328D">
        <w:rPr>
          <w:rFonts w:ascii="Times New Roman" w:hAnsi="Times New Roman" w:cs="Times New Roman"/>
          <w:lang w:val="en-US"/>
        </w:rPr>
        <w:t>days later in the general election shows that none received a vote share in the EP electi</w:t>
      </w:r>
      <w:r w:rsidR="00F2690A">
        <w:rPr>
          <w:rFonts w:ascii="Times New Roman" w:hAnsi="Times New Roman" w:cs="Times New Roman"/>
          <w:lang w:val="en-US"/>
        </w:rPr>
        <w:t>on that was six</w:t>
      </w:r>
      <w:r w:rsidRPr="00E5328D">
        <w:rPr>
          <w:rFonts w:ascii="Times New Roman" w:hAnsi="Times New Roman" w:cs="Times New Roman"/>
          <w:lang w:val="en-US"/>
        </w:rPr>
        <w:t xml:space="preserve"> percentage points different to </w:t>
      </w:r>
      <w:r w:rsidR="006D134C" w:rsidRPr="00E5328D">
        <w:rPr>
          <w:rFonts w:ascii="Times New Roman" w:hAnsi="Times New Roman" w:cs="Times New Roman"/>
          <w:lang w:val="en-US"/>
        </w:rPr>
        <w:t>the g</w:t>
      </w:r>
      <w:r w:rsidR="00F2690A">
        <w:rPr>
          <w:rFonts w:ascii="Times New Roman" w:hAnsi="Times New Roman" w:cs="Times New Roman"/>
          <w:lang w:val="en-US"/>
        </w:rPr>
        <w:t>eneral election. Moreover, for five of the nine</w:t>
      </w:r>
      <w:r w:rsidR="006D134C" w:rsidRPr="00E5328D">
        <w:rPr>
          <w:rFonts w:ascii="Times New Roman" w:hAnsi="Times New Roman" w:cs="Times New Roman"/>
          <w:lang w:val="en-US"/>
        </w:rPr>
        <w:t xml:space="preserve"> parties, the share of the vote received</w:t>
      </w:r>
      <w:r w:rsidR="00F2690A">
        <w:rPr>
          <w:rFonts w:ascii="Times New Roman" w:hAnsi="Times New Roman" w:cs="Times New Roman"/>
          <w:lang w:val="en-US"/>
        </w:rPr>
        <w:t xml:space="preserve"> in the EP election was within two</w:t>
      </w:r>
      <w:r w:rsidR="006D134C" w:rsidRPr="00E5328D">
        <w:rPr>
          <w:rFonts w:ascii="Times New Roman" w:hAnsi="Times New Roman" w:cs="Times New Roman"/>
          <w:lang w:val="en-US"/>
        </w:rPr>
        <w:t xml:space="preserve"> percentage points of that received in</w:t>
      </w:r>
      <w:r w:rsidR="00F2690A">
        <w:rPr>
          <w:rFonts w:ascii="Times New Roman" w:hAnsi="Times New Roman" w:cs="Times New Roman"/>
          <w:lang w:val="en-US"/>
        </w:rPr>
        <w:t xml:space="preserve"> the general election, and for three of the nine</w:t>
      </w:r>
      <w:r w:rsidR="006D134C" w:rsidRPr="00E5328D">
        <w:rPr>
          <w:rFonts w:ascii="Times New Roman" w:hAnsi="Times New Roman" w:cs="Times New Roman"/>
          <w:lang w:val="en-US"/>
        </w:rPr>
        <w:t xml:space="preserve"> parties, with</w:t>
      </w:r>
      <w:r w:rsidR="00F2690A">
        <w:rPr>
          <w:rFonts w:ascii="Times New Roman" w:hAnsi="Times New Roman" w:cs="Times New Roman"/>
          <w:lang w:val="en-US"/>
        </w:rPr>
        <w:t>in one</w:t>
      </w:r>
      <w:r w:rsidR="006D134C" w:rsidRPr="00E5328D">
        <w:rPr>
          <w:rFonts w:ascii="Times New Roman" w:hAnsi="Times New Roman" w:cs="Times New Roman"/>
          <w:lang w:val="en-US"/>
        </w:rPr>
        <w:t xml:space="preserve"> percentage point. Thus, despite small differences, election results are consistent with broadly similar voting patterns in EP and general election.</w:t>
      </w:r>
    </w:p>
    <w:p w14:paraId="25C0FC40" w14:textId="77777777" w:rsidR="00C66E0F" w:rsidRDefault="009502D5" w:rsidP="00194141">
      <w:pPr>
        <w:keepNext/>
        <w:keepLines/>
        <w:spacing w:line="360" w:lineRule="auto"/>
        <w:ind w:firstLine="708"/>
        <w:jc w:val="both"/>
        <w:rPr>
          <w:rFonts w:ascii="Times New Roman" w:hAnsi="Times New Roman" w:cs="Times New Roman"/>
          <w:lang w:val="en-US"/>
        </w:rPr>
      </w:pPr>
      <w:r w:rsidRPr="00E5328D">
        <w:rPr>
          <w:rFonts w:ascii="Times New Roman" w:hAnsi="Times New Roman" w:cs="Times New Roman"/>
          <w:lang w:val="en-US"/>
        </w:rPr>
        <w:t xml:space="preserve">However, aggregate level voting patterns may mask differences in voting between the national and EP election at the individual level. To provide insight at the individual level, Table 2 presents how respondents taking part in the RECONNECT </w:t>
      </w:r>
      <w:r w:rsidR="00E5328D">
        <w:rPr>
          <w:rFonts w:ascii="Times New Roman" w:hAnsi="Times New Roman" w:cs="Times New Roman"/>
          <w:lang w:val="en-US"/>
        </w:rPr>
        <w:t>EP</w:t>
      </w:r>
      <w:r w:rsidR="00E5328D" w:rsidRPr="00E5328D">
        <w:rPr>
          <w:rFonts w:ascii="Times New Roman" w:hAnsi="Times New Roman" w:cs="Times New Roman"/>
          <w:lang w:val="en-US"/>
        </w:rPr>
        <w:t xml:space="preserve"> </w:t>
      </w:r>
      <w:r w:rsidRPr="00E5328D">
        <w:rPr>
          <w:rFonts w:ascii="Times New Roman" w:hAnsi="Times New Roman" w:cs="Times New Roman"/>
          <w:lang w:val="en-US"/>
        </w:rPr>
        <w:t xml:space="preserve">election survey reported voting in the EP election and </w:t>
      </w:r>
      <w:r w:rsidR="00196C49">
        <w:rPr>
          <w:rFonts w:ascii="Times New Roman" w:hAnsi="Times New Roman" w:cs="Times New Roman"/>
          <w:lang w:val="en-US"/>
        </w:rPr>
        <w:t xml:space="preserve">also, </w:t>
      </w:r>
      <w:r w:rsidRPr="00E5328D">
        <w:rPr>
          <w:rFonts w:ascii="Times New Roman" w:hAnsi="Times New Roman" w:cs="Times New Roman"/>
          <w:lang w:val="en-US"/>
        </w:rPr>
        <w:t>prospectivel</w:t>
      </w:r>
      <w:r w:rsidR="00196C49">
        <w:rPr>
          <w:rFonts w:ascii="Times New Roman" w:hAnsi="Times New Roman" w:cs="Times New Roman"/>
          <w:lang w:val="en-US"/>
        </w:rPr>
        <w:t>y,</w:t>
      </w:r>
      <w:r w:rsidRPr="00E5328D">
        <w:rPr>
          <w:rFonts w:ascii="Times New Roman" w:hAnsi="Times New Roman" w:cs="Times New Roman"/>
          <w:lang w:val="en-US"/>
        </w:rPr>
        <w:t xml:space="preserve"> in the </w:t>
      </w:r>
      <w:r w:rsidR="00E5328D">
        <w:rPr>
          <w:rFonts w:ascii="Times New Roman" w:hAnsi="Times New Roman" w:cs="Times New Roman"/>
          <w:lang w:val="en-US"/>
        </w:rPr>
        <w:t>upcoming national election</w:t>
      </w:r>
      <w:r w:rsidRPr="00E5328D">
        <w:rPr>
          <w:rFonts w:ascii="Times New Roman" w:hAnsi="Times New Roman" w:cs="Times New Roman"/>
          <w:lang w:val="en-US"/>
        </w:rPr>
        <w:t xml:space="preserve">. Descending the cells diagonally from left to right tracks the percentage of respondents who reported voting for the same party in both elections. Clearly, there is a high degree of consistency: </w:t>
      </w:r>
      <w:r w:rsidR="009C1FF6">
        <w:rPr>
          <w:rFonts w:ascii="Times New Roman" w:hAnsi="Times New Roman" w:cs="Times New Roman"/>
          <w:lang w:val="en-US"/>
        </w:rPr>
        <w:t>for all except two parties (</w:t>
      </w:r>
      <w:proofErr w:type="spellStart"/>
      <w:r w:rsidR="009C1FF6">
        <w:rPr>
          <w:rFonts w:ascii="Times New Roman" w:hAnsi="Times New Roman" w:cs="Times New Roman"/>
          <w:lang w:val="en-US"/>
        </w:rPr>
        <w:t>Enhedslisten</w:t>
      </w:r>
      <w:proofErr w:type="spellEnd"/>
      <w:r w:rsidR="009C1FF6">
        <w:rPr>
          <w:rFonts w:ascii="Times New Roman" w:hAnsi="Times New Roman" w:cs="Times New Roman"/>
          <w:lang w:val="en-US"/>
        </w:rPr>
        <w:t xml:space="preserve"> and Liberal Alliance) </w:t>
      </w:r>
      <w:r w:rsidR="00A24A03" w:rsidRPr="00E5328D">
        <w:rPr>
          <w:rFonts w:ascii="Times New Roman" w:hAnsi="Times New Roman" w:cs="Times New Roman"/>
          <w:lang w:val="en-US"/>
        </w:rPr>
        <w:t xml:space="preserve">did less than </w:t>
      </w:r>
      <w:r w:rsidR="00B67D06">
        <w:rPr>
          <w:rFonts w:ascii="Times New Roman" w:hAnsi="Times New Roman" w:cs="Times New Roman"/>
          <w:lang w:val="en-US"/>
        </w:rPr>
        <w:t>3</w:t>
      </w:r>
      <w:r w:rsidR="003D1877">
        <w:rPr>
          <w:rFonts w:ascii="Times New Roman" w:hAnsi="Times New Roman" w:cs="Times New Roman"/>
          <w:lang w:val="en-US"/>
        </w:rPr>
        <w:t>0</w:t>
      </w:r>
      <w:r w:rsidR="00554745" w:rsidRPr="00554745">
        <w:rPr>
          <w:rFonts w:ascii="Times New Roman" w:hAnsi="Times New Roman" w:cs="Times New Roman"/>
          <w:lang w:val="en-US"/>
        </w:rPr>
        <w:t>%</w:t>
      </w:r>
      <w:r w:rsidR="00A24A03" w:rsidRPr="00E5328D">
        <w:rPr>
          <w:rFonts w:ascii="Times New Roman" w:hAnsi="Times New Roman" w:cs="Times New Roman"/>
          <w:lang w:val="en-US"/>
        </w:rPr>
        <w:t xml:space="preserve"> of respondents </w:t>
      </w:r>
      <w:r w:rsidR="00B67D06">
        <w:rPr>
          <w:rFonts w:ascii="Times New Roman" w:hAnsi="Times New Roman" w:cs="Times New Roman"/>
          <w:lang w:val="en-US"/>
        </w:rPr>
        <w:t xml:space="preserve">report </w:t>
      </w:r>
      <w:r w:rsidR="00A24A03" w:rsidRPr="00E5328D">
        <w:rPr>
          <w:rFonts w:ascii="Times New Roman" w:hAnsi="Times New Roman" w:cs="Times New Roman"/>
          <w:lang w:val="en-US"/>
        </w:rPr>
        <w:t>plan</w:t>
      </w:r>
      <w:r w:rsidR="00C66E0F">
        <w:rPr>
          <w:rFonts w:ascii="Times New Roman" w:hAnsi="Times New Roman" w:cs="Times New Roman"/>
          <w:lang w:val="en-US"/>
        </w:rPr>
        <w:t>ning</w:t>
      </w:r>
      <w:r w:rsidR="00A24A03" w:rsidRPr="00E5328D">
        <w:rPr>
          <w:rFonts w:ascii="Times New Roman" w:hAnsi="Times New Roman" w:cs="Times New Roman"/>
          <w:lang w:val="en-US"/>
        </w:rPr>
        <w:t xml:space="preserve"> to vote for </w:t>
      </w:r>
      <w:r w:rsidR="00B67D06">
        <w:rPr>
          <w:rFonts w:ascii="Times New Roman" w:hAnsi="Times New Roman" w:cs="Times New Roman"/>
          <w:lang w:val="en-US"/>
        </w:rPr>
        <w:t>a party</w:t>
      </w:r>
      <w:r w:rsidR="00B67D06" w:rsidRPr="00E5328D">
        <w:rPr>
          <w:rFonts w:ascii="Times New Roman" w:hAnsi="Times New Roman" w:cs="Times New Roman"/>
          <w:lang w:val="en-US"/>
        </w:rPr>
        <w:t xml:space="preserve"> </w:t>
      </w:r>
      <w:r w:rsidR="00A24A03" w:rsidRPr="00E5328D">
        <w:rPr>
          <w:rFonts w:ascii="Times New Roman" w:hAnsi="Times New Roman" w:cs="Times New Roman"/>
          <w:lang w:val="en-US"/>
        </w:rPr>
        <w:t xml:space="preserve">in the national election </w:t>
      </w:r>
      <w:r w:rsidR="00B67D06">
        <w:rPr>
          <w:rFonts w:ascii="Times New Roman" w:hAnsi="Times New Roman" w:cs="Times New Roman"/>
          <w:lang w:val="en-US"/>
        </w:rPr>
        <w:t xml:space="preserve">that was </w:t>
      </w:r>
      <w:r w:rsidR="0019349F">
        <w:rPr>
          <w:rFonts w:ascii="Times New Roman" w:hAnsi="Times New Roman" w:cs="Times New Roman"/>
          <w:lang w:val="en-US"/>
        </w:rPr>
        <w:t xml:space="preserve">different </w:t>
      </w:r>
      <w:r w:rsidR="00B67D06">
        <w:rPr>
          <w:rFonts w:ascii="Times New Roman" w:hAnsi="Times New Roman" w:cs="Times New Roman"/>
          <w:lang w:val="en-US"/>
        </w:rPr>
        <w:t xml:space="preserve">from their </w:t>
      </w:r>
      <w:r w:rsidR="0019349F">
        <w:rPr>
          <w:rFonts w:ascii="Times New Roman" w:hAnsi="Times New Roman" w:cs="Times New Roman"/>
          <w:lang w:val="en-US"/>
        </w:rPr>
        <w:t>vote</w:t>
      </w:r>
      <w:r w:rsidR="003D1877">
        <w:rPr>
          <w:rFonts w:ascii="Times New Roman" w:hAnsi="Times New Roman" w:cs="Times New Roman"/>
          <w:lang w:val="en-US"/>
        </w:rPr>
        <w:t xml:space="preserve"> choice in the EP election</w:t>
      </w:r>
      <w:r w:rsidR="00A24A03" w:rsidRPr="00E5328D">
        <w:rPr>
          <w:rFonts w:ascii="Times New Roman" w:hAnsi="Times New Roman" w:cs="Times New Roman"/>
          <w:lang w:val="en-US"/>
        </w:rPr>
        <w:t xml:space="preserve">, and this share of respondents was </w:t>
      </w:r>
      <w:r w:rsidR="00B67D06">
        <w:rPr>
          <w:rFonts w:ascii="Times New Roman" w:hAnsi="Times New Roman" w:cs="Times New Roman"/>
          <w:lang w:val="en-US"/>
        </w:rPr>
        <w:t>below one</w:t>
      </w:r>
      <w:r w:rsidR="00A24A03" w:rsidRPr="00E5328D">
        <w:rPr>
          <w:rFonts w:ascii="Times New Roman" w:hAnsi="Times New Roman" w:cs="Times New Roman"/>
          <w:lang w:val="en-US"/>
        </w:rPr>
        <w:t xml:space="preserve">-fifths in the case of </w:t>
      </w:r>
      <w:proofErr w:type="spellStart"/>
      <w:r w:rsidR="00A24A03" w:rsidRPr="00E5328D">
        <w:rPr>
          <w:rFonts w:ascii="Times New Roman" w:hAnsi="Times New Roman" w:cs="Times New Roman"/>
          <w:lang w:val="en-US"/>
        </w:rPr>
        <w:t>Venstre</w:t>
      </w:r>
      <w:proofErr w:type="spellEnd"/>
      <w:r w:rsidR="00A24A03" w:rsidRPr="00E5328D">
        <w:rPr>
          <w:rFonts w:ascii="Times New Roman" w:hAnsi="Times New Roman" w:cs="Times New Roman"/>
          <w:lang w:val="en-US"/>
        </w:rPr>
        <w:t xml:space="preserve"> </w:t>
      </w:r>
      <w:r w:rsidR="003D1877">
        <w:rPr>
          <w:rFonts w:ascii="Times New Roman" w:hAnsi="Times New Roman" w:cs="Times New Roman"/>
          <w:lang w:val="en-US"/>
        </w:rPr>
        <w:t>(</w:t>
      </w:r>
      <w:r w:rsidR="00A24A03" w:rsidRPr="00E5328D">
        <w:rPr>
          <w:rFonts w:ascii="Times New Roman" w:hAnsi="Times New Roman" w:cs="Times New Roman"/>
          <w:lang w:val="en-US"/>
        </w:rPr>
        <w:t>8</w:t>
      </w:r>
      <w:r w:rsidR="00554745">
        <w:rPr>
          <w:rFonts w:ascii="Times New Roman" w:hAnsi="Times New Roman" w:cs="Times New Roman"/>
          <w:lang w:val="en-US"/>
        </w:rPr>
        <w:t xml:space="preserve">7.4%), </w:t>
      </w:r>
      <w:r w:rsidR="00A24A03" w:rsidRPr="00E5328D">
        <w:rPr>
          <w:rFonts w:ascii="Times New Roman" w:hAnsi="Times New Roman" w:cs="Times New Roman"/>
          <w:lang w:val="en-US"/>
        </w:rPr>
        <w:t xml:space="preserve">the </w:t>
      </w:r>
      <w:r w:rsidR="003D1877">
        <w:rPr>
          <w:rFonts w:ascii="Times New Roman" w:hAnsi="Times New Roman" w:cs="Times New Roman"/>
          <w:lang w:val="en-US"/>
        </w:rPr>
        <w:t>Social Liberal</w:t>
      </w:r>
      <w:r w:rsidR="0015141F">
        <w:rPr>
          <w:rFonts w:ascii="Times New Roman" w:hAnsi="Times New Roman" w:cs="Times New Roman"/>
          <w:lang w:val="en-US"/>
        </w:rPr>
        <w:t>s</w:t>
      </w:r>
      <w:r w:rsidR="003D1877">
        <w:rPr>
          <w:rFonts w:ascii="Times New Roman" w:hAnsi="Times New Roman" w:cs="Times New Roman"/>
          <w:lang w:val="en-US"/>
        </w:rPr>
        <w:t xml:space="preserve"> (</w:t>
      </w:r>
      <w:r w:rsidR="003D1877" w:rsidRPr="003D1877">
        <w:rPr>
          <w:rFonts w:ascii="Times New Roman" w:hAnsi="Times New Roman" w:cs="Times New Roman"/>
          <w:lang w:val="en-US"/>
        </w:rPr>
        <w:t>83.1%</w:t>
      </w:r>
      <w:r w:rsidR="00A24A03" w:rsidRPr="00E5328D">
        <w:rPr>
          <w:rFonts w:ascii="Times New Roman" w:hAnsi="Times New Roman" w:cs="Times New Roman"/>
          <w:lang w:val="en-US"/>
        </w:rPr>
        <w:t>)</w:t>
      </w:r>
      <w:r w:rsidR="003D1877">
        <w:rPr>
          <w:rFonts w:ascii="Times New Roman" w:hAnsi="Times New Roman" w:cs="Times New Roman"/>
          <w:lang w:val="en-US"/>
        </w:rPr>
        <w:t xml:space="preserve"> and the </w:t>
      </w:r>
      <w:r w:rsidR="003D1877" w:rsidRPr="003D1877">
        <w:rPr>
          <w:rFonts w:ascii="Times New Roman" w:hAnsi="Times New Roman" w:cs="Times New Roman"/>
          <w:lang w:val="en-US"/>
        </w:rPr>
        <w:t>Conservative</w:t>
      </w:r>
      <w:r w:rsidR="0015141F">
        <w:rPr>
          <w:rFonts w:ascii="Times New Roman" w:hAnsi="Times New Roman" w:cs="Times New Roman"/>
          <w:lang w:val="en-US"/>
        </w:rPr>
        <w:t>s</w:t>
      </w:r>
      <w:r w:rsidR="003D1877" w:rsidRPr="003D1877">
        <w:rPr>
          <w:rFonts w:ascii="Times New Roman" w:hAnsi="Times New Roman" w:cs="Times New Roman"/>
          <w:lang w:val="en-US"/>
        </w:rPr>
        <w:t xml:space="preserve"> </w:t>
      </w:r>
      <w:r w:rsidR="003D1877">
        <w:rPr>
          <w:rFonts w:ascii="Times New Roman" w:hAnsi="Times New Roman" w:cs="Times New Roman"/>
          <w:lang w:val="en-US"/>
        </w:rPr>
        <w:t>(</w:t>
      </w:r>
      <w:r w:rsidR="003D1877" w:rsidRPr="003D1877">
        <w:rPr>
          <w:rFonts w:ascii="Times New Roman" w:hAnsi="Times New Roman" w:cs="Times New Roman"/>
          <w:lang w:val="en-US"/>
        </w:rPr>
        <w:t>81.8%</w:t>
      </w:r>
      <w:r w:rsidR="003D1877">
        <w:rPr>
          <w:rFonts w:ascii="Times New Roman" w:hAnsi="Times New Roman" w:cs="Times New Roman"/>
          <w:lang w:val="en-US"/>
        </w:rPr>
        <w:t>)</w:t>
      </w:r>
      <w:r w:rsidR="00A24A03" w:rsidRPr="00E5328D">
        <w:rPr>
          <w:rFonts w:ascii="Times New Roman" w:hAnsi="Times New Roman" w:cs="Times New Roman"/>
          <w:lang w:val="en-US"/>
        </w:rPr>
        <w:t>. In other words,</w:t>
      </w:r>
      <w:r w:rsidR="0019349F">
        <w:rPr>
          <w:rFonts w:ascii="Times New Roman" w:hAnsi="Times New Roman" w:cs="Times New Roman"/>
          <w:lang w:val="en-US"/>
        </w:rPr>
        <w:t xml:space="preserve"> for most parties,</w:t>
      </w:r>
      <w:r w:rsidR="00A24A03" w:rsidRPr="00E5328D">
        <w:rPr>
          <w:rFonts w:ascii="Times New Roman" w:hAnsi="Times New Roman" w:cs="Times New Roman"/>
          <w:lang w:val="en-US"/>
        </w:rPr>
        <w:t xml:space="preserve"> respondents were more likely than not to report voting for the same party in the EP election as in the national election. </w:t>
      </w:r>
    </w:p>
    <w:p w14:paraId="043B11FC" w14:textId="6EE2AA52" w:rsidR="00872E27" w:rsidRDefault="00A24A03" w:rsidP="00872E27">
      <w:pPr>
        <w:keepNext/>
        <w:keepLines/>
        <w:spacing w:line="360" w:lineRule="auto"/>
        <w:ind w:firstLine="708"/>
        <w:jc w:val="both"/>
        <w:rPr>
          <w:rFonts w:ascii="Times New Roman" w:hAnsi="Times New Roman" w:cs="Times New Roman"/>
          <w:lang w:val="en-US"/>
        </w:rPr>
      </w:pPr>
      <w:r w:rsidRPr="00E5328D">
        <w:rPr>
          <w:rFonts w:ascii="Times New Roman" w:hAnsi="Times New Roman" w:cs="Times New Roman"/>
          <w:lang w:val="en-US"/>
        </w:rPr>
        <w:t>Nevertheless, there is evidence of important differences in voting behavior in the EP election</w:t>
      </w:r>
      <w:r w:rsidR="003D1877">
        <w:rPr>
          <w:rFonts w:ascii="Times New Roman" w:hAnsi="Times New Roman" w:cs="Times New Roman"/>
          <w:lang w:val="en-US"/>
        </w:rPr>
        <w:t xml:space="preserve">. </w:t>
      </w:r>
      <w:r w:rsidR="0019349F">
        <w:rPr>
          <w:rFonts w:ascii="Times New Roman" w:hAnsi="Times New Roman" w:cs="Times New Roman"/>
          <w:lang w:val="en-US"/>
        </w:rPr>
        <w:t xml:space="preserve">For </w:t>
      </w:r>
      <w:r w:rsidR="00291DE7">
        <w:rPr>
          <w:rFonts w:ascii="Times New Roman" w:hAnsi="Times New Roman" w:cs="Times New Roman"/>
          <w:lang w:val="en-US"/>
        </w:rPr>
        <w:t>respondents whose vote intention was for</w:t>
      </w:r>
      <w:r w:rsidR="0019349F">
        <w:rPr>
          <w:rFonts w:ascii="Times New Roman" w:hAnsi="Times New Roman" w:cs="Times New Roman"/>
          <w:lang w:val="en-US"/>
        </w:rPr>
        <w:t xml:space="preserve"> </w:t>
      </w:r>
      <w:proofErr w:type="spellStart"/>
      <w:r w:rsidR="0019349F">
        <w:rPr>
          <w:rFonts w:ascii="Times New Roman" w:hAnsi="Times New Roman" w:cs="Times New Roman"/>
          <w:lang w:val="en-US"/>
        </w:rPr>
        <w:t>Enhedslisten</w:t>
      </w:r>
      <w:proofErr w:type="spellEnd"/>
      <w:r w:rsidR="0019349F">
        <w:rPr>
          <w:rFonts w:ascii="Times New Roman" w:hAnsi="Times New Roman" w:cs="Times New Roman"/>
          <w:lang w:val="en-US"/>
        </w:rPr>
        <w:t xml:space="preserve"> and Liberal Alliance in the national election, </w:t>
      </w:r>
      <w:r w:rsidR="00291DE7">
        <w:rPr>
          <w:rFonts w:ascii="Times New Roman" w:hAnsi="Times New Roman" w:cs="Times New Roman"/>
          <w:lang w:val="en-US"/>
        </w:rPr>
        <w:t>there appears to be a tendency to vote for larger parties of a similar ideology in the EP contest</w:t>
      </w:r>
      <w:r w:rsidR="0019349F">
        <w:rPr>
          <w:rFonts w:ascii="Times New Roman" w:hAnsi="Times New Roman" w:cs="Times New Roman"/>
          <w:lang w:val="en-US"/>
        </w:rPr>
        <w:t>: almost 38% of</w:t>
      </w:r>
      <w:r w:rsidR="00291DE7">
        <w:rPr>
          <w:rFonts w:ascii="Times New Roman" w:hAnsi="Times New Roman" w:cs="Times New Roman"/>
          <w:lang w:val="en-US"/>
        </w:rPr>
        <w:t xml:space="preserve"> prospective</w:t>
      </w:r>
      <w:r w:rsidR="0019349F">
        <w:rPr>
          <w:rFonts w:ascii="Times New Roman" w:hAnsi="Times New Roman" w:cs="Times New Roman"/>
          <w:lang w:val="en-US"/>
        </w:rPr>
        <w:t xml:space="preserve"> Liberal Alliance voters </w:t>
      </w:r>
      <w:r w:rsidR="00291DE7">
        <w:rPr>
          <w:rFonts w:ascii="Times New Roman" w:hAnsi="Times New Roman" w:cs="Times New Roman"/>
          <w:lang w:val="en-US"/>
        </w:rPr>
        <w:t xml:space="preserve">in the national election reported </w:t>
      </w:r>
      <w:r w:rsidR="00B5179E">
        <w:rPr>
          <w:rFonts w:ascii="Times New Roman" w:hAnsi="Times New Roman" w:cs="Times New Roman"/>
          <w:lang w:val="en-US"/>
        </w:rPr>
        <w:t>voting for</w:t>
      </w:r>
      <w:r w:rsidR="0019349F">
        <w:rPr>
          <w:rFonts w:ascii="Times New Roman" w:hAnsi="Times New Roman" w:cs="Times New Roman"/>
          <w:lang w:val="en-US"/>
        </w:rPr>
        <w:t xml:space="preserve"> </w:t>
      </w:r>
      <w:proofErr w:type="spellStart"/>
      <w:r w:rsidR="0019349F">
        <w:rPr>
          <w:rFonts w:ascii="Times New Roman" w:hAnsi="Times New Roman" w:cs="Times New Roman"/>
          <w:lang w:val="en-US"/>
        </w:rPr>
        <w:t>Venstre</w:t>
      </w:r>
      <w:proofErr w:type="spellEnd"/>
      <w:r w:rsidR="00040175">
        <w:rPr>
          <w:rFonts w:ascii="Times New Roman" w:hAnsi="Times New Roman" w:cs="Times New Roman"/>
          <w:lang w:val="en-US"/>
        </w:rPr>
        <w:t xml:space="preserve"> in the EP contest </w:t>
      </w:r>
      <w:r w:rsidR="0019349F">
        <w:rPr>
          <w:rFonts w:ascii="Times New Roman" w:hAnsi="Times New Roman" w:cs="Times New Roman"/>
          <w:lang w:val="en-US"/>
        </w:rPr>
        <w:t xml:space="preserve">and almost 18% </w:t>
      </w:r>
      <w:r w:rsidR="00B5179E">
        <w:rPr>
          <w:rFonts w:ascii="Times New Roman" w:hAnsi="Times New Roman" w:cs="Times New Roman"/>
          <w:lang w:val="en-US"/>
        </w:rPr>
        <w:t>for</w:t>
      </w:r>
      <w:r w:rsidR="0019349F">
        <w:rPr>
          <w:rFonts w:ascii="Times New Roman" w:hAnsi="Times New Roman" w:cs="Times New Roman"/>
          <w:lang w:val="en-US"/>
        </w:rPr>
        <w:t xml:space="preserve"> the </w:t>
      </w:r>
      <w:r w:rsidR="0019349F" w:rsidRPr="0019349F">
        <w:rPr>
          <w:rFonts w:ascii="Times New Roman" w:hAnsi="Times New Roman" w:cs="Times New Roman"/>
          <w:lang w:val="en-US"/>
        </w:rPr>
        <w:t>Socialist People's Party (SF)</w:t>
      </w:r>
      <w:r w:rsidR="00291DE7">
        <w:rPr>
          <w:rFonts w:ascii="Times New Roman" w:hAnsi="Times New Roman" w:cs="Times New Roman"/>
          <w:lang w:val="en-US"/>
        </w:rPr>
        <w:t xml:space="preserve">; </w:t>
      </w:r>
      <w:r w:rsidR="00CC190F">
        <w:rPr>
          <w:rFonts w:ascii="Times New Roman" w:hAnsi="Times New Roman" w:cs="Times New Roman"/>
          <w:lang w:val="en-US"/>
        </w:rPr>
        <w:t>and</w:t>
      </w:r>
      <w:r w:rsidR="00291DE7">
        <w:rPr>
          <w:rFonts w:ascii="Times New Roman" w:hAnsi="Times New Roman" w:cs="Times New Roman"/>
          <w:lang w:val="en-US"/>
        </w:rPr>
        <w:t xml:space="preserve"> almost </w:t>
      </w:r>
      <w:r w:rsidR="00B5179E">
        <w:rPr>
          <w:rFonts w:ascii="Times New Roman" w:hAnsi="Times New Roman" w:cs="Times New Roman"/>
          <w:lang w:val="en-US"/>
        </w:rPr>
        <w:t>one-fifth</w:t>
      </w:r>
      <w:r w:rsidR="00291DE7">
        <w:rPr>
          <w:rFonts w:ascii="Times New Roman" w:hAnsi="Times New Roman" w:cs="Times New Roman"/>
          <w:lang w:val="en-US"/>
        </w:rPr>
        <w:t xml:space="preserve"> of </w:t>
      </w:r>
      <w:r w:rsidR="00CC190F">
        <w:rPr>
          <w:rFonts w:ascii="Times New Roman" w:hAnsi="Times New Roman" w:cs="Times New Roman"/>
          <w:lang w:val="en-US"/>
        </w:rPr>
        <w:t>respondents</w:t>
      </w:r>
      <w:r w:rsidR="00B5179E">
        <w:rPr>
          <w:rFonts w:ascii="Times New Roman" w:hAnsi="Times New Roman" w:cs="Times New Roman"/>
          <w:lang w:val="en-US"/>
        </w:rPr>
        <w:t xml:space="preserve"> intending to vote for the </w:t>
      </w:r>
      <w:r w:rsidR="00291DE7">
        <w:rPr>
          <w:rFonts w:ascii="Times New Roman" w:hAnsi="Times New Roman" w:cs="Times New Roman"/>
          <w:lang w:val="en-US"/>
        </w:rPr>
        <w:t xml:space="preserve">far-left </w:t>
      </w:r>
      <w:proofErr w:type="spellStart"/>
      <w:r w:rsidR="00291DE7" w:rsidRPr="00291DE7">
        <w:rPr>
          <w:rFonts w:ascii="Times New Roman" w:hAnsi="Times New Roman" w:cs="Times New Roman"/>
          <w:lang w:val="en-US"/>
        </w:rPr>
        <w:t>Enhedsl</w:t>
      </w:r>
      <w:r w:rsidR="00291DE7">
        <w:rPr>
          <w:rFonts w:ascii="Times New Roman" w:hAnsi="Times New Roman" w:cs="Times New Roman"/>
          <w:lang w:val="en-US"/>
        </w:rPr>
        <w:t>isten</w:t>
      </w:r>
      <w:proofErr w:type="spellEnd"/>
      <w:r w:rsidR="00291DE7">
        <w:rPr>
          <w:rFonts w:ascii="Times New Roman" w:hAnsi="Times New Roman" w:cs="Times New Roman"/>
          <w:lang w:val="en-US"/>
        </w:rPr>
        <w:t xml:space="preserve"> </w:t>
      </w:r>
      <w:r w:rsidR="00291DE7" w:rsidRPr="00291DE7">
        <w:rPr>
          <w:rFonts w:ascii="Times New Roman" w:hAnsi="Times New Roman" w:cs="Times New Roman"/>
          <w:lang w:val="en-US"/>
        </w:rPr>
        <w:t>(Ø)</w:t>
      </w:r>
      <w:r w:rsidR="00291DE7">
        <w:rPr>
          <w:rFonts w:ascii="Times New Roman" w:hAnsi="Times New Roman" w:cs="Times New Roman"/>
          <w:lang w:val="en-US"/>
        </w:rPr>
        <w:t xml:space="preserve"> in the national election </w:t>
      </w:r>
      <w:r w:rsidR="00B5179E">
        <w:rPr>
          <w:rFonts w:ascii="Times New Roman" w:hAnsi="Times New Roman" w:cs="Times New Roman"/>
          <w:lang w:val="en-US"/>
        </w:rPr>
        <w:t>reported a vote for the</w:t>
      </w:r>
      <w:r w:rsidR="00291DE7">
        <w:rPr>
          <w:rFonts w:ascii="Times New Roman" w:hAnsi="Times New Roman" w:cs="Times New Roman"/>
          <w:lang w:val="en-US"/>
        </w:rPr>
        <w:t xml:space="preserve"> </w:t>
      </w:r>
      <w:r w:rsidR="00291DE7" w:rsidRPr="00291DE7">
        <w:rPr>
          <w:rFonts w:ascii="Times New Roman" w:hAnsi="Times New Roman" w:cs="Times New Roman"/>
          <w:lang w:val="en-US"/>
        </w:rPr>
        <w:t>Socialist People's Party (SF)</w:t>
      </w:r>
      <w:r w:rsidR="00291DE7">
        <w:rPr>
          <w:rFonts w:ascii="Times New Roman" w:hAnsi="Times New Roman" w:cs="Times New Roman"/>
          <w:lang w:val="en-US"/>
        </w:rPr>
        <w:t xml:space="preserve"> </w:t>
      </w:r>
      <w:r w:rsidR="00B5179E">
        <w:rPr>
          <w:rFonts w:ascii="Times New Roman" w:hAnsi="Times New Roman" w:cs="Times New Roman"/>
          <w:lang w:val="en-US"/>
        </w:rPr>
        <w:t xml:space="preserve">in </w:t>
      </w:r>
      <w:r w:rsidR="00291DE7">
        <w:rPr>
          <w:rFonts w:ascii="Times New Roman" w:hAnsi="Times New Roman" w:cs="Times New Roman"/>
          <w:lang w:val="en-US"/>
        </w:rPr>
        <w:t>the EP election.</w:t>
      </w:r>
      <w:r w:rsidR="00B5179E">
        <w:rPr>
          <w:rFonts w:ascii="Times New Roman" w:hAnsi="Times New Roman" w:cs="Times New Roman"/>
          <w:lang w:val="en-US"/>
        </w:rPr>
        <w:t xml:space="preserve"> </w:t>
      </w:r>
      <w:r w:rsidR="00DB4930">
        <w:rPr>
          <w:rFonts w:ascii="Times New Roman" w:hAnsi="Times New Roman" w:cs="Times New Roman"/>
          <w:lang w:val="en-US"/>
        </w:rPr>
        <w:t>Another notable difference:</w:t>
      </w:r>
      <w:r w:rsidR="00B5179E">
        <w:rPr>
          <w:rFonts w:ascii="Times New Roman" w:hAnsi="Times New Roman" w:cs="Times New Roman"/>
          <w:lang w:val="en-US"/>
        </w:rPr>
        <w:t xml:space="preserve"> almost 14</w:t>
      </w:r>
      <w:r w:rsidR="00B5179E" w:rsidRPr="00E5328D">
        <w:rPr>
          <w:rFonts w:ascii="Times New Roman" w:hAnsi="Times New Roman" w:cs="Times New Roman"/>
          <w:lang w:val="en-US"/>
        </w:rPr>
        <w:t>% of respondents who reported voting for the Conservative</w:t>
      </w:r>
      <w:r w:rsidR="00F0096D">
        <w:rPr>
          <w:rFonts w:ascii="Times New Roman" w:hAnsi="Times New Roman" w:cs="Times New Roman"/>
          <w:lang w:val="en-US"/>
        </w:rPr>
        <w:t>s</w:t>
      </w:r>
      <w:r w:rsidR="00B5179E" w:rsidRPr="00E5328D">
        <w:rPr>
          <w:rFonts w:ascii="Times New Roman" w:hAnsi="Times New Roman" w:cs="Times New Roman"/>
          <w:lang w:val="en-US"/>
        </w:rPr>
        <w:t xml:space="preserve"> (C) </w:t>
      </w:r>
      <w:r w:rsidR="00B5179E">
        <w:rPr>
          <w:rFonts w:ascii="Times New Roman" w:hAnsi="Times New Roman" w:cs="Times New Roman"/>
          <w:lang w:val="en-US"/>
        </w:rPr>
        <w:t xml:space="preserve">and 23% </w:t>
      </w:r>
      <w:r w:rsidR="00C66E0F">
        <w:rPr>
          <w:rFonts w:ascii="Times New Roman" w:hAnsi="Times New Roman" w:cs="Times New Roman"/>
          <w:lang w:val="en-US"/>
        </w:rPr>
        <w:t xml:space="preserve">for </w:t>
      </w:r>
      <w:r w:rsidR="00B5179E">
        <w:rPr>
          <w:rFonts w:ascii="Times New Roman" w:hAnsi="Times New Roman" w:cs="Times New Roman"/>
          <w:lang w:val="en-US"/>
        </w:rPr>
        <w:t xml:space="preserve">the </w:t>
      </w:r>
      <w:r w:rsidR="00B5179E" w:rsidRPr="00806B62">
        <w:rPr>
          <w:rFonts w:ascii="Times New Roman" w:hAnsi="Times New Roman" w:cs="Times New Roman"/>
          <w:lang w:val="en-US"/>
        </w:rPr>
        <w:t>Danish People’s Party (O)</w:t>
      </w:r>
      <w:r w:rsidR="00B5179E">
        <w:rPr>
          <w:rFonts w:ascii="Times New Roman" w:hAnsi="Times New Roman" w:cs="Times New Roman"/>
          <w:lang w:val="en-US"/>
        </w:rPr>
        <w:t xml:space="preserve"> </w:t>
      </w:r>
      <w:r w:rsidR="00B5179E" w:rsidRPr="00E5328D">
        <w:rPr>
          <w:rFonts w:ascii="Times New Roman" w:hAnsi="Times New Roman" w:cs="Times New Roman"/>
          <w:lang w:val="en-US"/>
        </w:rPr>
        <w:t xml:space="preserve">in the national election reported </w:t>
      </w:r>
      <w:r w:rsidR="00B5179E">
        <w:rPr>
          <w:rFonts w:ascii="Times New Roman" w:hAnsi="Times New Roman" w:cs="Times New Roman"/>
          <w:lang w:val="en-US"/>
        </w:rPr>
        <w:t>voting</w:t>
      </w:r>
      <w:r w:rsidR="00B5179E" w:rsidRPr="00E5328D">
        <w:rPr>
          <w:rFonts w:ascii="Times New Roman" w:hAnsi="Times New Roman" w:cs="Times New Roman"/>
          <w:lang w:val="en-US"/>
        </w:rPr>
        <w:t xml:space="preserve"> for the more pro-EU </w:t>
      </w:r>
      <w:proofErr w:type="spellStart"/>
      <w:r w:rsidR="00B5179E" w:rsidRPr="00E5328D">
        <w:rPr>
          <w:rFonts w:ascii="Times New Roman" w:hAnsi="Times New Roman" w:cs="Times New Roman"/>
          <w:lang w:val="en-US"/>
        </w:rPr>
        <w:t>Venstre</w:t>
      </w:r>
      <w:proofErr w:type="spellEnd"/>
      <w:r w:rsidR="00B5179E" w:rsidRPr="00E5328D">
        <w:rPr>
          <w:rFonts w:ascii="Times New Roman" w:hAnsi="Times New Roman" w:cs="Times New Roman"/>
          <w:lang w:val="en-US"/>
        </w:rPr>
        <w:t xml:space="preserve"> (V) in the EP election</w:t>
      </w:r>
      <w:r w:rsidR="00B5179E">
        <w:rPr>
          <w:rFonts w:ascii="Times New Roman" w:hAnsi="Times New Roman" w:cs="Times New Roman"/>
          <w:lang w:val="en-US"/>
        </w:rPr>
        <w:t xml:space="preserve">. There is also a strong tendency for </w:t>
      </w:r>
      <w:r w:rsidR="00C66E0F">
        <w:rPr>
          <w:rFonts w:ascii="Times New Roman" w:hAnsi="Times New Roman" w:cs="Times New Roman"/>
          <w:lang w:val="en-US"/>
        </w:rPr>
        <w:t>respondents not voting for a party listed</w:t>
      </w:r>
      <w:r w:rsidR="00B5179E">
        <w:rPr>
          <w:rFonts w:ascii="Times New Roman" w:hAnsi="Times New Roman" w:cs="Times New Roman"/>
          <w:lang w:val="en-US"/>
        </w:rPr>
        <w:t xml:space="preserve"> in Table 2 </w:t>
      </w:r>
      <w:r w:rsidR="00C66E0F">
        <w:rPr>
          <w:rFonts w:ascii="Times New Roman" w:hAnsi="Times New Roman" w:cs="Times New Roman"/>
          <w:lang w:val="en-US"/>
        </w:rPr>
        <w:t>doing so in the EP election</w:t>
      </w:r>
      <w:r w:rsidR="00B5179E">
        <w:rPr>
          <w:rFonts w:ascii="Times New Roman" w:hAnsi="Times New Roman" w:cs="Times New Roman"/>
          <w:lang w:val="en-US"/>
        </w:rPr>
        <w:t xml:space="preserve">, with a heterogeneous mix of </w:t>
      </w:r>
      <w:proofErr w:type="spellStart"/>
      <w:r w:rsidR="00196C49">
        <w:rPr>
          <w:rFonts w:ascii="Times New Roman" w:hAnsi="Times New Roman" w:cs="Times New Roman"/>
          <w:lang w:val="en-US"/>
        </w:rPr>
        <w:t>Venstre</w:t>
      </w:r>
      <w:proofErr w:type="spellEnd"/>
      <w:r w:rsidR="00196C49">
        <w:rPr>
          <w:rFonts w:ascii="Times New Roman" w:hAnsi="Times New Roman" w:cs="Times New Roman"/>
          <w:lang w:val="en-US"/>
        </w:rPr>
        <w:t xml:space="preserve"> </w:t>
      </w:r>
      <w:r w:rsidR="00040175">
        <w:rPr>
          <w:rFonts w:ascii="Times New Roman" w:hAnsi="Times New Roman" w:cs="Times New Roman"/>
          <w:lang w:val="en-US"/>
        </w:rPr>
        <w:t>(23.1%)</w:t>
      </w:r>
      <w:r w:rsidR="00DB4930">
        <w:rPr>
          <w:rFonts w:ascii="Times New Roman" w:hAnsi="Times New Roman" w:cs="Times New Roman"/>
          <w:lang w:val="en-US"/>
        </w:rPr>
        <w:t>, Conservatives (21.7%</w:t>
      </w:r>
      <w:r w:rsidR="00DB4930" w:rsidRPr="00B5179E">
        <w:rPr>
          <w:rFonts w:ascii="Times New Roman" w:hAnsi="Times New Roman" w:cs="Times New Roman"/>
          <w:lang w:val="en-US"/>
        </w:rPr>
        <w:t>)</w:t>
      </w:r>
      <w:r w:rsidR="00DB4930">
        <w:rPr>
          <w:rFonts w:ascii="Times New Roman" w:hAnsi="Times New Roman" w:cs="Times New Roman"/>
          <w:lang w:val="en-US"/>
        </w:rPr>
        <w:t xml:space="preserve"> and</w:t>
      </w:r>
      <w:r w:rsidR="00040175">
        <w:rPr>
          <w:rFonts w:ascii="Times New Roman" w:hAnsi="Times New Roman" w:cs="Times New Roman"/>
          <w:lang w:val="en-US"/>
        </w:rPr>
        <w:t xml:space="preserve"> </w:t>
      </w:r>
      <w:r w:rsidR="00B5179E">
        <w:rPr>
          <w:rFonts w:ascii="Times New Roman" w:hAnsi="Times New Roman" w:cs="Times New Roman"/>
          <w:lang w:val="en-US"/>
        </w:rPr>
        <w:t xml:space="preserve">the </w:t>
      </w:r>
      <w:r w:rsidR="00040175">
        <w:rPr>
          <w:rFonts w:ascii="Times New Roman" w:hAnsi="Times New Roman" w:cs="Times New Roman"/>
          <w:lang w:val="en-US"/>
        </w:rPr>
        <w:t xml:space="preserve">Danish People’s Party </w:t>
      </w:r>
      <w:r w:rsidR="00F0096D">
        <w:rPr>
          <w:rFonts w:ascii="Times New Roman" w:hAnsi="Times New Roman" w:cs="Times New Roman"/>
          <w:lang w:val="en-US"/>
        </w:rPr>
        <w:t>(</w:t>
      </w:r>
      <w:r w:rsidR="00040175">
        <w:rPr>
          <w:rFonts w:ascii="Times New Roman" w:hAnsi="Times New Roman" w:cs="Times New Roman"/>
          <w:lang w:val="en-US"/>
        </w:rPr>
        <w:t>16.9%</w:t>
      </w:r>
      <w:r w:rsidR="00F0096D">
        <w:rPr>
          <w:rFonts w:ascii="Times New Roman" w:hAnsi="Times New Roman" w:cs="Times New Roman"/>
          <w:lang w:val="en-US"/>
        </w:rPr>
        <w:t>)</w:t>
      </w:r>
      <w:r w:rsidR="00DB4930">
        <w:rPr>
          <w:rFonts w:ascii="Times New Roman" w:hAnsi="Times New Roman" w:cs="Times New Roman"/>
          <w:lang w:val="en-US"/>
        </w:rPr>
        <w:t xml:space="preserve"> </w:t>
      </w:r>
      <w:r w:rsidR="00CC190F">
        <w:rPr>
          <w:rFonts w:ascii="Times New Roman" w:hAnsi="Times New Roman" w:cs="Times New Roman"/>
          <w:lang w:val="en-US"/>
        </w:rPr>
        <w:t>appearing to benefit from this</w:t>
      </w:r>
      <w:r w:rsidR="00B5179E">
        <w:rPr>
          <w:rFonts w:ascii="Times New Roman" w:hAnsi="Times New Roman" w:cs="Times New Roman"/>
          <w:lang w:val="en-US"/>
        </w:rPr>
        <w:t xml:space="preserve">. </w:t>
      </w:r>
      <w:r w:rsidR="00F04F11" w:rsidRPr="00E5328D">
        <w:rPr>
          <w:rFonts w:ascii="Times New Roman" w:hAnsi="Times New Roman" w:cs="Times New Roman"/>
          <w:lang w:val="en-US"/>
        </w:rPr>
        <w:t>Thus, although a correspondence between national and EP vote choice is most common amongst respondents, there is also evidence of some divergence, suggesting that the EP election was at least partially successful in distinguishing itself from the national campaign.</w:t>
      </w:r>
    </w:p>
    <w:p w14:paraId="172C66BA" w14:textId="77777777" w:rsidR="00872E27" w:rsidRPr="00E5328D" w:rsidRDefault="00872E27" w:rsidP="00F04F11">
      <w:pPr>
        <w:keepNext/>
        <w:keepLines/>
        <w:spacing w:line="360" w:lineRule="auto"/>
        <w:ind w:firstLine="708"/>
        <w:jc w:val="both"/>
        <w:rPr>
          <w:rFonts w:ascii="Times New Roman" w:hAnsi="Times New Roman" w:cs="Times New Roman"/>
          <w:lang w:val="en-US"/>
        </w:rPr>
      </w:pPr>
    </w:p>
    <w:p w14:paraId="5368E1E4" w14:textId="237019F9" w:rsidR="001B27F7" w:rsidRPr="00DB4930" w:rsidRDefault="001B27F7" w:rsidP="005419DA">
      <w:pPr>
        <w:spacing w:line="360" w:lineRule="auto"/>
        <w:jc w:val="both"/>
        <w:rPr>
          <w:rFonts w:ascii="Times New Roman" w:hAnsi="Times New Roman" w:cs="Times New Roman"/>
          <w:lang w:val="en-US"/>
        </w:rPr>
      </w:pPr>
      <w:r w:rsidRPr="00DB4930">
        <w:rPr>
          <w:rFonts w:ascii="Times New Roman" w:hAnsi="Times New Roman" w:cs="Times New Roman"/>
          <w:b/>
          <w:lang w:val="en-US"/>
        </w:rPr>
        <w:t>Table 2</w:t>
      </w:r>
      <w:r w:rsidRPr="00DB4930">
        <w:rPr>
          <w:rFonts w:ascii="Times New Roman" w:hAnsi="Times New Roman" w:cs="Times New Roman"/>
          <w:lang w:val="en-US"/>
        </w:rPr>
        <w:t xml:space="preserve">: </w:t>
      </w:r>
      <w:r w:rsidR="005419DA" w:rsidRPr="00DB4930">
        <w:rPr>
          <w:rFonts w:ascii="Times New Roman" w:hAnsi="Times New Roman" w:cs="Times New Roman"/>
          <w:lang w:val="en-US"/>
        </w:rPr>
        <w:t>Consistency between vote choice in national and EP election</w:t>
      </w:r>
    </w:p>
    <w:tbl>
      <w:tblPr>
        <w:tblStyle w:val="Almindeligtabel5"/>
        <w:tblW w:w="9005" w:type="dxa"/>
        <w:jc w:val="center"/>
        <w:tblLook w:val="04A0" w:firstRow="1" w:lastRow="0" w:firstColumn="1" w:lastColumn="0" w:noHBand="0" w:noVBand="1"/>
      </w:tblPr>
      <w:tblGrid>
        <w:gridCol w:w="2031"/>
        <w:gridCol w:w="772"/>
        <w:gridCol w:w="772"/>
        <w:gridCol w:w="772"/>
        <w:gridCol w:w="772"/>
        <w:gridCol w:w="772"/>
        <w:gridCol w:w="772"/>
        <w:gridCol w:w="772"/>
        <w:gridCol w:w="772"/>
        <w:gridCol w:w="798"/>
      </w:tblGrid>
      <w:tr w:rsidR="00872E27" w:rsidRPr="009174FD" w14:paraId="1CD27504" w14:textId="77777777" w:rsidTr="00872E27">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100" w:firstRow="0" w:lastRow="0" w:firstColumn="1" w:lastColumn="0" w:oddVBand="0" w:evenVBand="0" w:oddHBand="0" w:evenHBand="0" w:firstRowFirstColumn="1" w:firstRowLastColumn="0" w:lastRowFirstColumn="0" w:lastRowLastColumn="0"/>
            <w:tcW w:w="2031" w:type="dxa"/>
            <w:noWrap/>
          </w:tcPr>
          <w:p w14:paraId="491B6555" w14:textId="77777777" w:rsidR="00872E27" w:rsidRPr="00872E27" w:rsidRDefault="00872E27" w:rsidP="009174FD">
            <w:pPr>
              <w:rPr>
                <w:rFonts w:ascii="Times New Roman" w:eastAsia="Times New Roman" w:hAnsi="Times New Roman" w:cs="Times New Roman"/>
                <w:lang w:val="en-US"/>
              </w:rPr>
            </w:pPr>
          </w:p>
        </w:tc>
        <w:tc>
          <w:tcPr>
            <w:tcW w:w="6974" w:type="dxa"/>
            <w:gridSpan w:val="9"/>
            <w:noWrap/>
          </w:tcPr>
          <w:p w14:paraId="79F3E62E" w14:textId="6FEDB332" w:rsidR="00872E27" w:rsidRPr="00872E27" w:rsidRDefault="00872E27" w:rsidP="009174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872E27">
              <w:rPr>
                <w:rFonts w:ascii="Calibri" w:eastAsia="Times New Roman" w:hAnsi="Calibri" w:cs="Calibri"/>
                <w:sz w:val="22"/>
                <w:lang w:val="en-US"/>
              </w:rPr>
              <w:t>EP election, May 26 2019</w:t>
            </w:r>
          </w:p>
        </w:tc>
      </w:tr>
      <w:tr w:rsidR="009174FD" w:rsidRPr="00872E27" w14:paraId="40871C8A" w14:textId="77777777" w:rsidTr="00872E27">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2031" w:type="dxa"/>
            <w:noWrap/>
            <w:vAlign w:val="center"/>
            <w:hideMark/>
          </w:tcPr>
          <w:p w14:paraId="1D9258C6" w14:textId="3D431CEF" w:rsidR="009174FD" w:rsidRPr="00872E27" w:rsidRDefault="00872E27" w:rsidP="00872E27">
            <w:pPr>
              <w:jc w:val="center"/>
              <w:rPr>
                <w:rFonts w:ascii="Calibri" w:eastAsia="Times New Roman" w:hAnsi="Calibri" w:cs="Calibri"/>
                <w:sz w:val="22"/>
                <w:szCs w:val="22"/>
                <w:lang w:val="en-US"/>
              </w:rPr>
            </w:pPr>
            <w:r w:rsidRPr="00872E27">
              <w:rPr>
                <w:rFonts w:ascii="Calibri" w:eastAsia="Times New Roman" w:hAnsi="Calibri" w:cs="Calibri"/>
                <w:sz w:val="22"/>
                <w:szCs w:val="22"/>
                <w:lang w:val="en-US"/>
              </w:rPr>
              <w:t xml:space="preserve">National election, </w:t>
            </w:r>
            <w:r w:rsidRPr="00872E27">
              <w:rPr>
                <w:rFonts w:ascii="Calibri" w:eastAsia="Times New Roman" w:hAnsi="Calibri" w:cs="Calibri"/>
                <w:sz w:val="22"/>
                <w:szCs w:val="22"/>
                <w:lang w:val="en-US"/>
              </w:rPr>
              <w:br/>
              <w:t>5 June 2019</w:t>
            </w:r>
          </w:p>
        </w:tc>
        <w:tc>
          <w:tcPr>
            <w:tcW w:w="772" w:type="dxa"/>
            <w:noWrap/>
            <w:vAlign w:val="center"/>
            <w:hideMark/>
          </w:tcPr>
          <w:p w14:paraId="126454DC" w14:textId="2DA50E23"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A</w:t>
            </w:r>
          </w:p>
        </w:tc>
        <w:tc>
          <w:tcPr>
            <w:tcW w:w="772" w:type="dxa"/>
            <w:noWrap/>
            <w:vAlign w:val="center"/>
            <w:hideMark/>
          </w:tcPr>
          <w:p w14:paraId="2E1846DA" w14:textId="2C253C37"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O</w:t>
            </w:r>
          </w:p>
        </w:tc>
        <w:tc>
          <w:tcPr>
            <w:tcW w:w="772" w:type="dxa"/>
            <w:noWrap/>
            <w:vAlign w:val="center"/>
            <w:hideMark/>
          </w:tcPr>
          <w:p w14:paraId="7462E53F" w14:textId="4E4DB366"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V</w:t>
            </w:r>
          </w:p>
        </w:tc>
        <w:tc>
          <w:tcPr>
            <w:tcW w:w="772" w:type="dxa"/>
            <w:noWrap/>
            <w:vAlign w:val="center"/>
            <w:hideMark/>
          </w:tcPr>
          <w:p w14:paraId="110189BE" w14:textId="4EBC0B0B"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Ø</w:t>
            </w:r>
          </w:p>
        </w:tc>
        <w:tc>
          <w:tcPr>
            <w:tcW w:w="772" w:type="dxa"/>
            <w:noWrap/>
            <w:vAlign w:val="center"/>
            <w:hideMark/>
          </w:tcPr>
          <w:p w14:paraId="030DE836" w14:textId="78B3E400"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I</w:t>
            </w:r>
          </w:p>
        </w:tc>
        <w:tc>
          <w:tcPr>
            <w:tcW w:w="772" w:type="dxa"/>
            <w:noWrap/>
            <w:vAlign w:val="center"/>
            <w:hideMark/>
          </w:tcPr>
          <w:p w14:paraId="47921D35" w14:textId="0A83404A"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B</w:t>
            </w:r>
          </w:p>
        </w:tc>
        <w:tc>
          <w:tcPr>
            <w:tcW w:w="772" w:type="dxa"/>
            <w:noWrap/>
            <w:vAlign w:val="center"/>
            <w:hideMark/>
          </w:tcPr>
          <w:p w14:paraId="4B775FEF" w14:textId="64464086"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SF</w:t>
            </w:r>
          </w:p>
        </w:tc>
        <w:tc>
          <w:tcPr>
            <w:tcW w:w="772" w:type="dxa"/>
            <w:noWrap/>
            <w:vAlign w:val="center"/>
            <w:hideMark/>
          </w:tcPr>
          <w:p w14:paraId="3DA830F6" w14:textId="52417346"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C</w:t>
            </w:r>
          </w:p>
        </w:tc>
        <w:tc>
          <w:tcPr>
            <w:tcW w:w="798" w:type="dxa"/>
            <w:noWrap/>
            <w:vAlign w:val="center"/>
            <w:hideMark/>
          </w:tcPr>
          <w:p w14:paraId="786B1EBC" w14:textId="77777777" w:rsidR="009174FD" w:rsidRPr="009174FD" w:rsidRDefault="009174FD" w:rsidP="00872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US"/>
              </w:rPr>
            </w:pPr>
            <w:r w:rsidRPr="009174FD">
              <w:rPr>
                <w:rFonts w:ascii="Calibri" w:eastAsia="Times New Roman" w:hAnsi="Calibri" w:cs="Times New Roman"/>
                <w:color w:val="000000"/>
                <w:sz w:val="22"/>
                <w:szCs w:val="22"/>
                <w:lang w:val="en-US"/>
              </w:rPr>
              <w:t>Other party</w:t>
            </w:r>
          </w:p>
        </w:tc>
      </w:tr>
      <w:tr w:rsidR="009C1FF6" w:rsidRPr="00872E27" w14:paraId="08684952" w14:textId="77777777" w:rsidTr="00872E27">
        <w:trPr>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1A5EB8EB" w14:textId="75ED4724" w:rsidR="009174FD" w:rsidRPr="00872E27" w:rsidRDefault="00CC190F" w:rsidP="009174F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Social Democrats</w:t>
            </w:r>
            <w:r w:rsidR="009174FD" w:rsidRPr="00872E27">
              <w:rPr>
                <w:rFonts w:ascii="Calibri" w:eastAsia="Times New Roman" w:hAnsi="Calibri" w:cs="Times New Roman"/>
                <w:i w:val="0"/>
                <w:color w:val="000000"/>
                <w:sz w:val="20"/>
                <w:szCs w:val="20"/>
                <w:lang w:val="en-US"/>
              </w:rPr>
              <w:t xml:space="preserve"> </w:t>
            </w:r>
            <w:r w:rsidR="009C1FF6" w:rsidRPr="00872E27">
              <w:rPr>
                <w:rFonts w:ascii="Calibri" w:eastAsia="Times New Roman" w:hAnsi="Calibri" w:cs="Times New Roman"/>
                <w:i w:val="0"/>
                <w:color w:val="000000"/>
                <w:sz w:val="20"/>
                <w:szCs w:val="20"/>
                <w:lang w:val="en-US"/>
              </w:rPr>
              <w:br/>
            </w:r>
            <w:r w:rsidR="009174FD" w:rsidRPr="00872E27">
              <w:rPr>
                <w:rFonts w:ascii="Calibri" w:eastAsia="Times New Roman" w:hAnsi="Calibri" w:cs="Times New Roman"/>
                <w:i w:val="0"/>
                <w:color w:val="000000"/>
                <w:sz w:val="20"/>
                <w:szCs w:val="20"/>
                <w:lang w:val="en-US"/>
              </w:rPr>
              <w:t>(A)</w:t>
            </w:r>
          </w:p>
        </w:tc>
        <w:tc>
          <w:tcPr>
            <w:tcW w:w="772" w:type="dxa"/>
            <w:shd w:val="clear" w:color="auto" w:fill="D0CECE" w:themeFill="background2" w:themeFillShade="E6"/>
            <w:noWrap/>
            <w:hideMark/>
          </w:tcPr>
          <w:p w14:paraId="3EE8E098"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73.2%</w:t>
            </w:r>
          </w:p>
        </w:tc>
        <w:tc>
          <w:tcPr>
            <w:tcW w:w="772" w:type="dxa"/>
            <w:noWrap/>
            <w:hideMark/>
          </w:tcPr>
          <w:p w14:paraId="06FCFD2A"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5.0%</w:t>
            </w:r>
          </w:p>
        </w:tc>
        <w:tc>
          <w:tcPr>
            <w:tcW w:w="772" w:type="dxa"/>
            <w:noWrap/>
            <w:hideMark/>
          </w:tcPr>
          <w:p w14:paraId="3288F4D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5.2%</w:t>
            </w:r>
          </w:p>
        </w:tc>
        <w:tc>
          <w:tcPr>
            <w:tcW w:w="772" w:type="dxa"/>
            <w:noWrap/>
            <w:hideMark/>
          </w:tcPr>
          <w:p w14:paraId="4B25F256"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0.6%</w:t>
            </w:r>
          </w:p>
        </w:tc>
        <w:tc>
          <w:tcPr>
            <w:tcW w:w="772" w:type="dxa"/>
            <w:noWrap/>
            <w:hideMark/>
          </w:tcPr>
          <w:p w14:paraId="09CEAE5A"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590375C1"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2.7%</w:t>
            </w:r>
          </w:p>
        </w:tc>
        <w:tc>
          <w:tcPr>
            <w:tcW w:w="772" w:type="dxa"/>
            <w:noWrap/>
            <w:hideMark/>
          </w:tcPr>
          <w:p w14:paraId="74C95CC1"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7.4%</w:t>
            </w:r>
          </w:p>
        </w:tc>
        <w:tc>
          <w:tcPr>
            <w:tcW w:w="772" w:type="dxa"/>
            <w:noWrap/>
            <w:hideMark/>
          </w:tcPr>
          <w:p w14:paraId="6BF84AAD"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5.8%</w:t>
            </w:r>
          </w:p>
        </w:tc>
        <w:tc>
          <w:tcPr>
            <w:tcW w:w="798" w:type="dxa"/>
            <w:noWrap/>
            <w:hideMark/>
          </w:tcPr>
          <w:p w14:paraId="2F55C4B6"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r>
      <w:tr w:rsidR="009174FD" w:rsidRPr="009174FD" w14:paraId="6AFE39C8" w14:textId="77777777" w:rsidTr="00872E27">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23D1820B" w14:textId="4CA46C1D" w:rsidR="009174FD" w:rsidRPr="00872E27" w:rsidRDefault="00CC190F" w:rsidP="009174F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Danish People’s Party</w:t>
            </w:r>
            <w:r w:rsidR="009174FD" w:rsidRPr="00872E27">
              <w:rPr>
                <w:rFonts w:ascii="Calibri" w:eastAsia="Times New Roman" w:hAnsi="Calibri" w:cs="Times New Roman"/>
                <w:i w:val="0"/>
                <w:color w:val="000000"/>
                <w:sz w:val="20"/>
                <w:szCs w:val="20"/>
                <w:lang w:val="en-US"/>
              </w:rPr>
              <w:t xml:space="preserve"> </w:t>
            </w:r>
            <w:r w:rsidR="009174FD" w:rsidRPr="00872E27">
              <w:rPr>
                <w:rFonts w:ascii="Calibri" w:eastAsia="Times New Roman" w:hAnsi="Calibri" w:cs="Times New Roman"/>
                <w:i w:val="0"/>
                <w:color w:val="000000"/>
                <w:sz w:val="20"/>
                <w:szCs w:val="20"/>
                <w:lang w:val="en-US"/>
              </w:rPr>
              <w:br/>
              <w:t>(O)</w:t>
            </w:r>
          </w:p>
        </w:tc>
        <w:tc>
          <w:tcPr>
            <w:tcW w:w="772" w:type="dxa"/>
            <w:noWrap/>
            <w:hideMark/>
          </w:tcPr>
          <w:p w14:paraId="37769CC4"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en-US"/>
              </w:rPr>
              <w:t>0.</w:t>
            </w:r>
            <w:r w:rsidRPr="00872E27">
              <w:rPr>
                <w:rFonts w:ascii="Calibri" w:eastAsia="Times New Roman" w:hAnsi="Calibri" w:cs="Times New Roman"/>
                <w:sz w:val="20"/>
                <w:szCs w:val="20"/>
                <w:lang w:val="de-DE"/>
              </w:rPr>
              <w:t>0%</w:t>
            </w:r>
          </w:p>
        </w:tc>
        <w:tc>
          <w:tcPr>
            <w:tcW w:w="772" w:type="dxa"/>
            <w:shd w:val="clear" w:color="auto" w:fill="D0CECE" w:themeFill="background2" w:themeFillShade="E6"/>
            <w:noWrap/>
            <w:hideMark/>
          </w:tcPr>
          <w:p w14:paraId="5C68CA97"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74.3</w:t>
            </w:r>
            <w:r w:rsidRPr="00872E27">
              <w:rPr>
                <w:rFonts w:ascii="Calibri" w:eastAsia="Times New Roman" w:hAnsi="Calibri" w:cs="Times New Roman"/>
                <w:sz w:val="20"/>
                <w:szCs w:val="20"/>
                <w:shd w:val="clear" w:color="auto" w:fill="D0CECE" w:themeFill="background2" w:themeFillShade="E6"/>
                <w:lang w:val="de-DE"/>
              </w:rPr>
              <w:t>%</w:t>
            </w:r>
          </w:p>
        </w:tc>
        <w:tc>
          <w:tcPr>
            <w:tcW w:w="772" w:type="dxa"/>
            <w:noWrap/>
            <w:hideMark/>
          </w:tcPr>
          <w:p w14:paraId="3B30F652"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23.0%</w:t>
            </w:r>
          </w:p>
        </w:tc>
        <w:tc>
          <w:tcPr>
            <w:tcW w:w="772" w:type="dxa"/>
            <w:noWrap/>
            <w:hideMark/>
          </w:tcPr>
          <w:p w14:paraId="60667E1B"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c>
          <w:tcPr>
            <w:tcW w:w="772" w:type="dxa"/>
            <w:noWrap/>
            <w:hideMark/>
          </w:tcPr>
          <w:p w14:paraId="5700B53D"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c>
          <w:tcPr>
            <w:tcW w:w="772" w:type="dxa"/>
            <w:noWrap/>
            <w:hideMark/>
          </w:tcPr>
          <w:p w14:paraId="5135C06C"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c>
          <w:tcPr>
            <w:tcW w:w="772" w:type="dxa"/>
            <w:noWrap/>
            <w:hideMark/>
          </w:tcPr>
          <w:p w14:paraId="1623D238"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1.3%</w:t>
            </w:r>
          </w:p>
        </w:tc>
        <w:tc>
          <w:tcPr>
            <w:tcW w:w="772" w:type="dxa"/>
            <w:noWrap/>
            <w:hideMark/>
          </w:tcPr>
          <w:p w14:paraId="77445FCB"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1.3%</w:t>
            </w:r>
          </w:p>
        </w:tc>
        <w:tc>
          <w:tcPr>
            <w:tcW w:w="798" w:type="dxa"/>
            <w:noWrap/>
            <w:hideMark/>
          </w:tcPr>
          <w:p w14:paraId="151BEA75"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r>
      <w:tr w:rsidR="009C1FF6" w:rsidRPr="009174FD" w14:paraId="70FFF2B3" w14:textId="77777777" w:rsidTr="00872E27">
        <w:trPr>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35FB9F19" w14:textId="6D9BE080" w:rsidR="009174FD" w:rsidRPr="00872E27" w:rsidRDefault="009174FD" w:rsidP="009174FD">
            <w:pPr>
              <w:rPr>
                <w:rFonts w:ascii="Calibri" w:eastAsia="Times New Roman" w:hAnsi="Calibri" w:cs="Times New Roman"/>
                <w:i w:val="0"/>
                <w:color w:val="000000"/>
                <w:sz w:val="20"/>
                <w:szCs w:val="20"/>
                <w:lang w:val="de-DE"/>
              </w:rPr>
            </w:pPr>
            <w:r w:rsidRPr="00872E27">
              <w:rPr>
                <w:rFonts w:ascii="Calibri" w:eastAsia="Times New Roman" w:hAnsi="Calibri" w:cs="Times New Roman"/>
                <w:i w:val="0"/>
                <w:color w:val="000000"/>
                <w:sz w:val="20"/>
                <w:szCs w:val="20"/>
                <w:lang w:val="de-DE"/>
              </w:rPr>
              <w:t xml:space="preserve">Venstre </w:t>
            </w:r>
            <w:r w:rsidRPr="00872E27">
              <w:rPr>
                <w:rFonts w:ascii="Calibri" w:eastAsia="Times New Roman" w:hAnsi="Calibri" w:cs="Times New Roman"/>
                <w:i w:val="0"/>
                <w:color w:val="000000"/>
                <w:sz w:val="20"/>
                <w:szCs w:val="20"/>
                <w:lang w:val="de-DE"/>
              </w:rPr>
              <w:br/>
              <w:t>(V)</w:t>
            </w:r>
          </w:p>
        </w:tc>
        <w:tc>
          <w:tcPr>
            <w:tcW w:w="772" w:type="dxa"/>
            <w:noWrap/>
            <w:hideMark/>
          </w:tcPr>
          <w:p w14:paraId="11135C3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1.6%</w:t>
            </w:r>
          </w:p>
        </w:tc>
        <w:tc>
          <w:tcPr>
            <w:tcW w:w="772" w:type="dxa"/>
            <w:noWrap/>
            <w:hideMark/>
          </w:tcPr>
          <w:p w14:paraId="2EC5BDE4"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3.2%</w:t>
            </w:r>
          </w:p>
        </w:tc>
        <w:tc>
          <w:tcPr>
            <w:tcW w:w="772" w:type="dxa"/>
            <w:shd w:val="clear" w:color="auto" w:fill="D0CECE" w:themeFill="background2" w:themeFillShade="E6"/>
            <w:noWrap/>
            <w:hideMark/>
          </w:tcPr>
          <w:p w14:paraId="73129CBB"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87.4%</w:t>
            </w:r>
          </w:p>
        </w:tc>
        <w:tc>
          <w:tcPr>
            <w:tcW w:w="772" w:type="dxa"/>
            <w:noWrap/>
            <w:hideMark/>
          </w:tcPr>
          <w:p w14:paraId="2C13A806"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c>
          <w:tcPr>
            <w:tcW w:w="772" w:type="dxa"/>
            <w:noWrap/>
            <w:hideMark/>
          </w:tcPr>
          <w:p w14:paraId="0921ABD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0.4%</w:t>
            </w:r>
          </w:p>
        </w:tc>
        <w:tc>
          <w:tcPr>
            <w:tcW w:w="772" w:type="dxa"/>
            <w:noWrap/>
            <w:hideMark/>
          </w:tcPr>
          <w:p w14:paraId="6BCA6A1D"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c>
          <w:tcPr>
            <w:tcW w:w="772" w:type="dxa"/>
            <w:noWrap/>
            <w:hideMark/>
          </w:tcPr>
          <w:p w14:paraId="4F55C2E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0.2%</w:t>
            </w:r>
          </w:p>
        </w:tc>
        <w:tc>
          <w:tcPr>
            <w:tcW w:w="772" w:type="dxa"/>
            <w:noWrap/>
            <w:hideMark/>
          </w:tcPr>
          <w:p w14:paraId="28233F8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7.1%</w:t>
            </w:r>
          </w:p>
        </w:tc>
        <w:tc>
          <w:tcPr>
            <w:tcW w:w="798" w:type="dxa"/>
            <w:noWrap/>
            <w:hideMark/>
          </w:tcPr>
          <w:p w14:paraId="6B492AE8"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de-DE"/>
              </w:rPr>
            </w:pPr>
            <w:r w:rsidRPr="00872E27">
              <w:rPr>
                <w:rFonts w:ascii="Calibri" w:eastAsia="Times New Roman" w:hAnsi="Calibri" w:cs="Times New Roman"/>
                <w:sz w:val="20"/>
                <w:szCs w:val="20"/>
                <w:lang w:val="de-DE"/>
              </w:rPr>
              <w:t>0.0%</w:t>
            </w:r>
          </w:p>
        </w:tc>
      </w:tr>
      <w:tr w:rsidR="009174FD" w:rsidRPr="009174FD" w14:paraId="455880FF" w14:textId="77777777" w:rsidTr="00872E27">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260EB6F0" w14:textId="3966B473" w:rsidR="009174FD" w:rsidRPr="00872E27" w:rsidRDefault="009174FD" w:rsidP="009174FD">
            <w:pPr>
              <w:rPr>
                <w:rFonts w:ascii="Calibri" w:eastAsia="Times New Roman" w:hAnsi="Calibri" w:cs="Times New Roman"/>
                <w:i w:val="0"/>
                <w:color w:val="000000"/>
                <w:sz w:val="20"/>
                <w:szCs w:val="20"/>
                <w:lang w:val="de-DE"/>
              </w:rPr>
            </w:pPr>
            <w:r w:rsidRPr="00872E27">
              <w:rPr>
                <w:rFonts w:ascii="Calibri" w:eastAsia="Times New Roman" w:hAnsi="Calibri" w:cs="Times New Roman"/>
                <w:i w:val="0"/>
                <w:color w:val="000000"/>
                <w:sz w:val="20"/>
                <w:szCs w:val="20"/>
                <w:lang w:val="de-DE"/>
              </w:rPr>
              <w:t xml:space="preserve">Enhedslisten </w:t>
            </w:r>
            <w:r w:rsidR="009C1FF6" w:rsidRPr="00872E27">
              <w:rPr>
                <w:rFonts w:ascii="Calibri" w:eastAsia="Times New Roman" w:hAnsi="Calibri" w:cs="Times New Roman"/>
                <w:i w:val="0"/>
                <w:color w:val="000000"/>
                <w:sz w:val="20"/>
                <w:szCs w:val="20"/>
                <w:lang w:val="de-DE"/>
              </w:rPr>
              <w:br/>
            </w:r>
            <w:r w:rsidRPr="00872E27">
              <w:rPr>
                <w:rFonts w:ascii="Calibri" w:eastAsia="Times New Roman" w:hAnsi="Calibri" w:cs="Times New Roman"/>
                <w:i w:val="0"/>
                <w:color w:val="000000"/>
                <w:sz w:val="20"/>
                <w:szCs w:val="20"/>
                <w:lang w:val="de-DE"/>
              </w:rPr>
              <w:t>(Ø)</w:t>
            </w:r>
          </w:p>
        </w:tc>
        <w:tc>
          <w:tcPr>
            <w:tcW w:w="772" w:type="dxa"/>
            <w:noWrap/>
            <w:hideMark/>
          </w:tcPr>
          <w:p w14:paraId="1D8CDD0C"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de-DE"/>
              </w:rPr>
              <w:t>6.4</w:t>
            </w:r>
            <w:r w:rsidRPr="00872E27">
              <w:rPr>
                <w:rFonts w:ascii="Calibri" w:eastAsia="Times New Roman" w:hAnsi="Calibri" w:cs="Times New Roman"/>
                <w:sz w:val="20"/>
                <w:szCs w:val="20"/>
                <w:lang w:val="en-US"/>
              </w:rPr>
              <w:t>%</w:t>
            </w:r>
          </w:p>
        </w:tc>
        <w:tc>
          <w:tcPr>
            <w:tcW w:w="772" w:type="dxa"/>
            <w:noWrap/>
            <w:hideMark/>
          </w:tcPr>
          <w:p w14:paraId="4008D041"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1.4%</w:t>
            </w:r>
          </w:p>
        </w:tc>
        <w:tc>
          <w:tcPr>
            <w:tcW w:w="772" w:type="dxa"/>
            <w:noWrap/>
            <w:hideMark/>
          </w:tcPr>
          <w:p w14:paraId="2D2A1E9D"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7.2%</w:t>
            </w:r>
          </w:p>
        </w:tc>
        <w:tc>
          <w:tcPr>
            <w:tcW w:w="772" w:type="dxa"/>
            <w:shd w:val="clear" w:color="auto" w:fill="D0CECE" w:themeFill="background2" w:themeFillShade="E6"/>
            <w:noWrap/>
            <w:hideMark/>
          </w:tcPr>
          <w:p w14:paraId="43E52E13"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51.5%</w:t>
            </w:r>
          </w:p>
        </w:tc>
        <w:tc>
          <w:tcPr>
            <w:tcW w:w="772" w:type="dxa"/>
            <w:noWrap/>
            <w:hideMark/>
          </w:tcPr>
          <w:p w14:paraId="4A255BDA"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1641A8F1"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1.4%</w:t>
            </w:r>
          </w:p>
        </w:tc>
        <w:tc>
          <w:tcPr>
            <w:tcW w:w="772" w:type="dxa"/>
            <w:noWrap/>
            <w:hideMark/>
          </w:tcPr>
          <w:p w14:paraId="6FFAEADB"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19.3%</w:t>
            </w:r>
          </w:p>
        </w:tc>
        <w:tc>
          <w:tcPr>
            <w:tcW w:w="772" w:type="dxa"/>
            <w:noWrap/>
            <w:hideMark/>
          </w:tcPr>
          <w:p w14:paraId="0810D470"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10.5%</w:t>
            </w:r>
          </w:p>
        </w:tc>
        <w:tc>
          <w:tcPr>
            <w:tcW w:w="798" w:type="dxa"/>
            <w:noWrap/>
            <w:hideMark/>
          </w:tcPr>
          <w:p w14:paraId="08B2905A"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2.3%</w:t>
            </w:r>
          </w:p>
        </w:tc>
      </w:tr>
      <w:tr w:rsidR="009C1FF6" w:rsidRPr="009174FD" w14:paraId="32E31C33" w14:textId="77777777" w:rsidTr="00872E27">
        <w:trPr>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6F59883B" w14:textId="2C27CBF5" w:rsidR="009174FD" w:rsidRPr="00872E27" w:rsidRDefault="009174FD" w:rsidP="009174F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 xml:space="preserve">Liberal Alliance </w:t>
            </w:r>
            <w:r w:rsidR="009C1FF6" w:rsidRPr="00872E27">
              <w:rPr>
                <w:rFonts w:ascii="Calibri" w:eastAsia="Times New Roman" w:hAnsi="Calibri" w:cs="Times New Roman"/>
                <w:i w:val="0"/>
                <w:color w:val="000000"/>
                <w:sz w:val="20"/>
                <w:szCs w:val="20"/>
                <w:lang w:val="en-US"/>
              </w:rPr>
              <w:br/>
            </w:r>
            <w:r w:rsidRPr="00872E27">
              <w:rPr>
                <w:rFonts w:ascii="Calibri" w:eastAsia="Times New Roman" w:hAnsi="Calibri" w:cs="Times New Roman"/>
                <w:i w:val="0"/>
                <w:color w:val="000000"/>
                <w:sz w:val="20"/>
                <w:szCs w:val="20"/>
                <w:lang w:val="en-US"/>
              </w:rPr>
              <w:t>(I)</w:t>
            </w:r>
          </w:p>
        </w:tc>
        <w:tc>
          <w:tcPr>
            <w:tcW w:w="772" w:type="dxa"/>
            <w:noWrap/>
            <w:hideMark/>
          </w:tcPr>
          <w:p w14:paraId="58CC3838"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2D958EB1"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4.2%</w:t>
            </w:r>
          </w:p>
        </w:tc>
        <w:tc>
          <w:tcPr>
            <w:tcW w:w="772" w:type="dxa"/>
            <w:noWrap/>
            <w:hideMark/>
          </w:tcPr>
          <w:p w14:paraId="5D8FE7AD"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37.9%</w:t>
            </w:r>
          </w:p>
        </w:tc>
        <w:tc>
          <w:tcPr>
            <w:tcW w:w="772" w:type="dxa"/>
            <w:noWrap/>
            <w:hideMark/>
          </w:tcPr>
          <w:p w14:paraId="74B7CDB5"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shd w:val="clear" w:color="auto" w:fill="D0CECE" w:themeFill="background2" w:themeFillShade="E6"/>
            <w:noWrap/>
            <w:hideMark/>
          </w:tcPr>
          <w:p w14:paraId="4A5B8E3E"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35.3%</w:t>
            </w:r>
          </w:p>
        </w:tc>
        <w:tc>
          <w:tcPr>
            <w:tcW w:w="772" w:type="dxa"/>
            <w:noWrap/>
            <w:hideMark/>
          </w:tcPr>
          <w:p w14:paraId="356CB32C"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26225FE0"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17.7%</w:t>
            </w:r>
          </w:p>
        </w:tc>
        <w:tc>
          <w:tcPr>
            <w:tcW w:w="772" w:type="dxa"/>
            <w:noWrap/>
            <w:hideMark/>
          </w:tcPr>
          <w:p w14:paraId="0FC4D365"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4.8%</w:t>
            </w:r>
          </w:p>
        </w:tc>
        <w:tc>
          <w:tcPr>
            <w:tcW w:w="798" w:type="dxa"/>
            <w:noWrap/>
            <w:hideMark/>
          </w:tcPr>
          <w:p w14:paraId="0CEE73F4"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r>
      <w:tr w:rsidR="009174FD" w:rsidRPr="00731BEF" w14:paraId="7A515CDB" w14:textId="77777777" w:rsidTr="00872E27">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4DBDB215" w14:textId="208060B9" w:rsidR="009174FD" w:rsidRPr="00872E27" w:rsidRDefault="00CC190F" w:rsidP="00F0096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Social Liberal</w:t>
            </w:r>
            <w:r w:rsidR="00F0096D" w:rsidRPr="00872E27">
              <w:rPr>
                <w:rFonts w:ascii="Calibri" w:eastAsia="Times New Roman" w:hAnsi="Calibri" w:cs="Times New Roman"/>
                <w:i w:val="0"/>
                <w:color w:val="000000"/>
                <w:sz w:val="20"/>
                <w:szCs w:val="20"/>
                <w:lang w:val="en-US"/>
              </w:rPr>
              <w:t>s</w:t>
            </w:r>
            <w:r w:rsidR="00731BEF" w:rsidRPr="00872E27">
              <w:rPr>
                <w:rFonts w:ascii="Calibri" w:eastAsia="Times New Roman" w:hAnsi="Calibri" w:cs="Times New Roman"/>
                <w:i w:val="0"/>
                <w:color w:val="000000"/>
                <w:sz w:val="20"/>
                <w:szCs w:val="20"/>
                <w:lang w:val="en-US"/>
              </w:rPr>
              <w:t xml:space="preserve"> </w:t>
            </w:r>
            <w:r w:rsidR="009174FD" w:rsidRPr="00872E27">
              <w:rPr>
                <w:rFonts w:ascii="Calibri" w:eastAsia="Times New Roman" w:hAnsi="Calibri" w:cs="Times New Roman"/>
                <w:i w:val="0"/>
                <w:color w:val="000000"/>
                <w:sz w:val="20"/>
                <w:szCs w:val="20"/>
                <w:lang w:val="en-US"/>
              </w:rPr>
              <w:t>(B)</w:t>
            </w:r>
            <w:r w:rsidR="00731BEF" w:rsidRPr="00872E27">
              <w:rPr>
                <w:rFonts w:ascii="Calibri" w:eastAsia="Times New Roman" w:hAnsi="Calibri" w:cs="Times New Roman"/>
                <w:i w:val="0"/>
                <w:color w:val="000000"/>
                <w:sz w:val="20"/>
                <w:szCs w:val="20"/>
                <w:lang w:val="en-US"/>
              </w:rPr>
              <w:br/>
            </w:r>
          </w:p>
        </w:tc>
        <w:tc>
          <w:tcPr>
            <w:tcW w:w="772" w:type="dxa"/>
            <w:noWrap/>
            <w:hideMark/>
          </w:tcPr>
          <w:p w14:paraId="0165BC81"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5.7%</w:t>
            </w:r>
          </w:p>
        </w:tc>
        <w:tc>
          <w:tcPr>
            <w:tcW w:w="772" w:type="dxa"/>
            <w:noWrap/>
            <w:hideMark/>
          </w:tcPr>
          <w:p w14:paraId="36FD516B"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2F294453"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4.3%</w:t>
            </w:r>
          </w:p>
        </w:tc>
        <w:tc>
          <w:tcPr>
            <w:tcW w:w="772" w:type="dxa"/>
            <w:noWrap/>
            <w:hideMark/>
          </w:tcPr>
          <w:p w14:paraId="5D2EE9E9"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0.8%</w:t>
            </w:r>
          </w:p>
        </w:tc>
        <w:tc>
          <w:tcPr>
            <w:tcW w:w="772" w:type="dxa"/>
            <w:noWrap/>
            <w:hideMark/>
          </w:tcPr>
          <w:p w14:paraId="6BD06D9A"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1.2%</w:t>
            </w:r>
          </w:p>
        </w:tc>
        <w:tc>
          <w:tcPr>
            <w:tcW w:w="772" w:type="dxa"/>
            <w:shd w:val="clear" w:color="auto" w:fill="D0CECE" w:themeFill="background2" w:themeFillShade="E6"/>
            <w:noWrap/>
            <w:hideMark/>
          </w:tcPr>
          <w:p w14:paraId="3609A49B"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83.1%</w:t>
            </w:r>
          </w:p>
        </w:tc>
        <w:tc>
          <w:tcPr>
            <w:tcW w:w="772" w:type="dxa"/>
            <w:noWrap/>
            <w:hideMark/>
          </w:tcPr>
          <w:p w14:paraId="2AFCAB4C"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3.1%</w:t>
            </w:r>
          </w:p>
        </w:tc>
        <w:tc>
          <w:tcPr>
            <w:tcW w:w="772" w:type="dxa"/>
            <w:noWrap/>
            <w:hideMark/>
          </w:tcPr>
          <w:p w14:paraId="3A44460C"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0.7%</w:t>
            </w:r>
          </w:p>
        </w:tc>
        <w:tc>
          <w:tcPr>
            <w:tcW w:w="798" w:type="dxa"/>
            <w:noWrap/>
            <w:hideMark/>
          </w:tcPr>
          <w:p w14:paraId="6840001E"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1.2%</w:t>
            </w:r>
          </w:p>
        </w:tc>
      </w:tr>
      <w:tr w:rsidR="009C1FF6" w:rsidRPr="00731BEF" w14:paraId="353E829E" w14:textId="77777777" w:rsidTr="00872E27">
        <w:trPr>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1E643539" w14:textId="3366813A" w:rsidR="009174FD" w:rsidRPr="00872E27" w:rsidRDefault="00CC190F" w:rsidP="009174F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 xml:space="preserve">Socialist People's Party </w:t>
            </w:r>
            <w:r w:rsidR="009174FD" w:rsidRPr="00872E27">
              <w:rPr>
                <w:rFonts w:ascii="Calibri" w:eastAsia="Times New Roman" w:hAnsi="Calibri" w:cs="Times New Roman"/>
                <w:i w:val="0"/>
                <w:color w:val="000000"/>
                <w:sz w:val="20"/>
                <w:szCs w:val="20"/>
                <w:lang w:val="en-US"/>
              </w:rPr>
              <w:t>(SF)</w:t>
            </w:r>
          </w:p>
        </w:tc>
        <w:tc>
          <w:tcPr>
            <w:tcW w:w="772" w:type="dxa"/>
            <w:noWrap/>
            <w:hideMark/>
          </w:tcPr>
          <w:p w14:paraId="055A8255"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14.0%</w:t>
            </w:r>
          </w:p>
        </w:tc>
        <w:tc>
          <w:tcPr>
            <w:tcW w:w="772" w:type="dxa"/>
            <w:noWrap/>
            <w:hideMark/>
          </w:tcPr>
          <w:p w14:paraId="7C46BA50"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4.4%</w:t>
            </w:r>
          </w:p>
        </w:tc>
        <w:tc>
          <w:tcPr>
            <w:tcW w:w="772" w:type="dxa"/>
            <w:noWrap/>
            <w:hideMark/>
          </w:tcPr>
          <w:p w14:paraId="40667B2F"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3690981C"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3.2%</w:t>
            </w:r>
          </w:p>
        </w:tc>
        <w:tc>
          <w:tcPr>
            <w:tcW w:w="772" w:type="dxa"/>
            <w:noWrap/>
            <w:hideMark/>
          </w:tcPr>
          <w:p w14:paraId="6428426F"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77899B7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4.7%</w:t>
            </w:r>
          </w:p>
        </w:tc>
        <w:tc>
          <w:tcPr>
            <w:tcW w:w="772" w:type="dxa"/>
            <w:shd w:val="clear" w:color="auto" w:fill="D0CECE" w:themeFill="background2" w:themeFillShade="E6"/>
            <w:noWrap/>
            <w:hideMark/>
          </w:tcPr>
          <w:p w14:paraId="751E7A86"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70.8%</w:t>
            </w:r>
          </w:p>
        </w:tc>
        <w:tc>
          <w:tcPr>
            <w:tcW w:w="772" w:type="dxa"/>
            <w:noWrap/>
            <w:hideMark/>
          </w:tcPr>
          <w:p w14:paraId="2D4F5367"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2.9%</w:t>
            </w:r>
          </w:p>
        </w:tc>
        <w:tc>
          <w:tcPr>
            <w:tcW w:w="798" w:type="dxa"/>
            <w:noWrap/>
            <w:hideMark/>
          </w:tcPr>
          <w:p w14:paraId="573F5F79"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r>
      <w:tr w:rsidR="009174FD" w:rsidRPr="00731BEF" w14:paraId="242C189A" w14:textId="77777777" w:rsidTr="00872E27">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3A25C330" w14:textId="1778E1B6" w:rsidR="009174FD" w:rsidRPr="00872E27" w:rsidRDefault="00CC190F" w:rsidP="00F0096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 xml:space="preserve">Conservatives </w:t>
            </w:r>
            <w:r w:rsidR="009174FD" w:rsidRPr="00872E27">
              <w:rPr>
                <w:rFonts w:ascii="Calibri" w:eastAsia="Times New Roman" w:hAnsi="Calibri" w:cs="Times New Roman"/>
                <w:i w:val="0"/>
                <w:color w:val="000000"/>
                <w:sz w:val="20"/>
                <w:szCs w:val="20"/>
                <w:lang w:val="en-US"/>
              </w:rPr>
              <w:t>(C)</w:t>
            </w:r>
            <w:r w:rsidR="00731BEF" w:rsidRPr="00872E27">
              <w:rPr>
                <w:rFonts w:ascii="Calibri" w:eastAsia="Times New Roman" w:hAnsi="Calibri" w:cs="Times New Roman"/>
                <w:i w:val="0"/>
                <w:color w:val="000000"/>
                <w:sz w:val="20"/>
                <w:szCs w:val="20"/>
                <w:lang w:val="en-US"/>
              </w:rPr>
              <w:br/>
            </w:r>
          </w:p>
        </w:tc>
        <w:tc>
          <w:tcPr>
            <w:tcW w:w="772" w:type="dxa"/>
            <w:noWrap/>
            <w:hideMark/>
          </w:tcPr>
          <w:p w14:paraId="55BDCF78"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6DCD0FEC"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4.3%</w:t>
            </w:r>
          </w:p>
        </w:tc>
        <w:tc>
          <w:tcPr>
            <w:tcW w:w="772" w:type="dxa"/>
            <w:noWrap/>
            <w:hideMark/>
          </w:tcPr>
          <w:p w14:paraId="6EE8CF10"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13.9%</w:t>
            </w:r>
          </w:p>
        </w:tc>
        <w:tc>
          <w:tcPr>
            <w:tcW w:w="772" w:type="dxa"/>
            <w:noWrap/>
            <w:hideMark/>
          </w:tcPr>
          <w:p w14:paraId="745C7C3D"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1B1731DD"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63E0AEF2"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noWrap/>
            <w:hideMark/>
          </w:tcPr>
          <w:p w14:paraId="3DA45494"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c>
          <w:tcPr>
            <w:tcW w:w="772" w:type="dxa"/>
            <w:shd w:val="clear" w:color="auto" w:fill="D0CECE" w:themeFill="background2" w:themeFillShade="E6"/>
            <w:noWrap/>
            <w:hideMark/>
          </w:tcPr>
          <w:p w14:paraId="644D835C"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81.8%</w:t>
            </w:r>
          </w:p>
        </w:tc>
        <w:tc>
          <w:tcPr>
            <w:tcW w:w="798" w:type="dxa"/>
            <w:noWrap/>
            <w:hideMark/>
          </w:tcPr>
          <w:p w14:paraId="0CB55936" w14:textId="77777777" w:rsidR="009174FD" w:rsidRPr="00872E27" w:rsidRDefault="009174FD" w:rsidP="009174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0.0%</w:t>
            </w:r>
          </w:p>
        </w:tc>
      </w:tr>
      <w:tr w:rsidR="009C1FF6" w:rsidRPr="00731BEF" w14:paraId="5A19A72D" w14:textId="77777777" w:rsidTr="00872E27">
        <w:trPr>
          <w:trHeight w:val="318"/>
          <w:jc w:val="center"/>
        </w:trPr>
        <w:tc>
          <w:tcPr>
            <w:cnfStyle w:val="001000000000" w:firstRow="0" w:lastRow="0" w:firstColumn="1" w:lastColumn="0" w:oddVBand="0" w:evenVBand="0" w:oddHBand="0" w:evenHBand="0" w:firstRowFirstColumn="0" w:firstRowLastColumn="0" w:lastRowFirstColumn="0" w:lastRowLastColumn="0"/>
            <w:tcW w:w="2031" w:type="dxa"/>
            <w:noWrap/>
            <w:hideMark/>
          </w:tcPr>
          <w:p w14:paraId="4AB89753" w14:textId="4302C9A0" w:rsidR="009174FD" w:rsidRPr="00872E27" w:rsidRDefault="009174FD" w:rsidP="009174FD">
            <w:pPr>
              <w:rPr>
                <w:rFonts w:ascii="Calibri" w:eastAsia="Times New Roman" w:hAnsi="Calibri" w:cs="Times New Roman"/>
                <w:i w:val="0"/>
                <w:color w:val="000000"/>
                <w:sz w:val="20"/>
                <w:szCs w:val="20"/>
                <w:lang w:val="en-US"/>
              </w:rPr>
            </w:pPr>
            <w:r w:rsidRPr="00872E27">
              <w:rPr>
                <w:rFonts w:ascii="Calibri" w:eastAsia="Times New Roman" w:hAnsi="Calibri" w:cs="Times New Roman"/>
                <w:i w:val="0"/>
                <w:color w:val="000000"/>
                <w:sz w:val="20"/>
                <w:szCs w:val="20"/>
                <w:lang w:val="en-US"/>
              </w:rPr>
              <w:t>Other party</w:t>
            </w:r>
            <w:r w:rsidR="00731BEF" w:rsidRPr="00872E27">
              <w:rPr>
                <w:rFonts w:ascii="Calibri" w:eastAsia="Times New Roman" w:hAnsi="Calibri" w:cs="Times New Roman"/>
                <w:i w:val="0"/>
                <w:color w:val="000000"/>
                <w:sz w:val="20"/>
                <w:szCs w:val="20"/>
                <w:lang w:val="en-US"/>
              </w:rPr>
              <w:br/>
            </w:r>
          </w:p>
        </w:tc>
        <w:tc>
          <w:tcPr>
            <w:tcW w:w="772" w:type="dxa"/>
            <w:noWrap/>
            <w:hideMark/>
          </w:tcPr>
          <w:p w14:paraId="26921AA7"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3.3%</w:t>
            </w:r>
          </w:p>
        </w:tc>
        <w:tc>
          <w:tcPr>
            <w:tcW w:w="772" w:type="dxa"/>
            <w:noWrap/>
            <w:hideMark/>
          </w:tcPr>
          <w:p w14:paraId="4E1547CB"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16.9%</w:t>
            </w:r>
          </w:p>
        </w:tc>
        <w:tc>
          <w:tcPr>
            <w:tcW w:w="772" w:type="dxa"/>
            <w:noWrap/>
            <w:hideMark/>
          </w:tcPr>
          <w:p w14:paraId="21700965"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23.1%</w:t>
            </w:r>
          </w:p>
        </w:tc>
        <w:tc>
          <w:tcPr>
            <w:tcW w:w="772" w:type="dxa"/>
            <w:noWrap/>
            <w:hideMark/>
          </w:tcPr>
          <w:p w14:paraId="62252894"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2.1%</w:t>
            </w:r>
          </w:p>
        </w:tc>
        <w:tc>
          <w:tcPr>
            <w:tcW w:w="772" w:type="dxa"/>
            <w:noWrap/>
            <w:hideMark/>
          </w:tcPr>
          <w:p w14:paraId="46929B25"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0.7%</w:t>
            </w:r>
          </w:p>
        </w:tc>
        <w:tc>
          <w:tcPr>
            <w:tcW w:w="772" w:type="dxa"/>
            <w:noWrap/>
            <w:hideMark/>
          </w:tcPr>
          <w:p w14:paraId="0156AB12"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6.9%</w:t>
            </w:r>
          </w:p>
        </w:tc>
        <w:tc>
          <w:tcPr>
            <w:tcW w:w="772" w:type="dxa"/>
            <w:noWrap/>
            <w:hideMark/>
          </w:tcPr>
          <w:p w14:paraId="74ED6FBB"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9.9%</w:t>
            </w:r>
          </w:p>
        </w:tc>
        <w:tc>
          <w:tcPr>
            <w:tcW w:w="772" w:type="dxa"/>
            <w:noWrap/>
            <w:hideMark/>
          </w:tcPr>
          <w:p w14:paraId="53E460DB"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21.7%</w:t>
            </w:r>
          </w:p>
        </w:tc>
        <w:tc>
          <w:tcPr>
            <w:tcW w:w="798" w:type="dxa"/>
            <w:shd w:val="clear" w:color="auto" w:fill="D0CECE" w:themeFill="background2" w:themeFillShade="E6"/>
            <w:noWrap/>
            <w:hideMark/>
          </w:tcPr>
          <w:p w14:paraId="7B64839A" w14:textId="77777777" w:rsidR="009174FD" w:rsidRPr="00872E27" w:rsidRDefault="009174FD" w:rsidP="009174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872E27">
              <w:rPr>
                <w:rFonts w:ascii="Calibri" w:eastAsia="Times New Roman" w:hAnsi="Calibri" w:cs="Times New Roman"/>
                <w:sz w:val="20"/>
                <w:szCs w:val="20"/>
                <w:lang w:val="en-US"/>
              </w:rPr>
              <w:t>15.6%</w:t>
            </w:r>
          </w:p>
        </w:tc>
      </w:tr>
    </w:tbl>
    <w:p w14:paraId="7BF1B243" w14:textId="77777777" w:rsidR="005419DA" w:rsidRPr="00DB4930" w:rsidRDefault="005419DA" w:rsidP="005419DA">
      <w:pPr>
        <w:spacing w:line="360" w:lineRule="auto"/>
        <w:jc w:val="both"/>
        <w:rPr>
          <w:rFonts w:ascii="Times New Roman" w:hAnsi="Times New Roman" w:cs="Times New Roman"/>
          <w:b/>
          <w:lang w:val="en-US"/>
        </w:rPr>
      </w:pPr>
    </w:p>
    <w:p w14:paraId="47C7913E" w14:textId="6DAC3180" w:rsidR="00D65227" w:rsidRPr="00DB4930" w:rsidRDefault="005419DA" w:rsidP="00D65227">
      <w:pPr>
        <w:spacing w:line="360" w:lineRule="auto"/>
        <w:jc w:val="both"/>
        <w:rPr>
          <w:rFonts w:ascii="Times New Roman" w:hAnsi="Times New Roman" w:cs="Times New Roman"/>
          <w:lang w:val="en-US"/>
        </w:rPr>
      </w:pPr>
      <w:r w:rsidRPr="00DB4930">
        <w:rPr>
          <w:rFonts w:ascii="Times New Roman" w:hAnsi="Times New Roman" w:cs="Times New Roman"/>
          <w:b/>
          <w:lang w:val="en-US"/>
        </w:rPr>
        <w:t>Source</w:t>
      </w:r>
      <w:r w:rsidRPr="00DB4930">
        <w:rPr>
          <w:rFonts w:ascii="Times New Roman" w:hAnsi="Times New Roman" w:cs="Times New Roman"/>
          <w:lang w:val="en-US"/>
        </w:rPr>
        <w:t>:</w:t>
      </w:r>
      <w:r w:rsidRPr="00DB4930">
        <w:rPr>
          <w:rFonts w:ascii="Times New Roman" w:hAnsi="Times New Roman" w:cs="Times New Roman"/>
          <w:b/>
          <w:lang w:val="en-US"/>
        </w:rPr>
        <w:t xml:space="preserve"> </w:t>
      </w:r>
      <w:r w:rsidRPr="00DB4930">
        <w:rPr>
          <w:rFonts w:ascii="Times New Roman" w:hAnsi="Times New Roman" w:cs="Times New Roman"/>
          <w:lang w:val="en-US"/>
        </w:rPr>
        <w:t>RECONNECT 2019 European election survey data. Fieldwork period: May 27-June 24 2019.</w:t>
      </w:r>
      <w:r w:rsidR="00F0096D">
        <w:rPr>
          <w:rFonts w:ascii="Times New Roman" w:hAnsi="Times New Roman" w:cs="Times New Roman"/>
          <w:lang w:val="en-US"/>
        </w:rPr>
        <w:t xml:space="preserve"> </w:t>
      </w:r>
      <w:r w:rsidR="00AF7855">
        <w:rPr>
          <w:rFonts w:ascii="Times New Roman" w:hAnsi="Times New Roman" w:cs="Times New Roman"/>
          <w:lang w:val="en-US"/>
        </w:rPr>
        <w:t xml:space="preserve">A darker shade is applied to cells indicating the same party choice between elections. </w:t>
      </w:r>
    </w:p>
    <w:p w14:paraId="032D2773" w14:textId="77777777" w:rsidR="00D65227" w:rsidRPr="00DB4930" w:rsidRDefault="00D65227" w:rsidP="00D65227">
      <w:pPr>
        <w:spacing w:line="360" w:lineRule="auto"/>
        <w:jc w:val="both"/>
        <w:rPr>
          <w:rFonts w:ascii="Times New Roman" w:hAnsi="Times New Roman" w:cs="Times New Roman"/>
          <w:lang w:val="en-US"/>
        </w:rPr>
      </w:pPr>
    </w:p>
    <w:p w14:paraId="7797D7B7" w14:textId="7834F520" w:rsidR="00893723" w:rsidRDefault="00F04F11" w:rsidP="00893723">
      <w:pPr>
        <w:spacing w:line="360" w:lineRule="auto"/>
        <w:ind w:firstLine="708"/>
        <w:jc w:val="both"/>
        <w:rPr>
          <w:rFonts w:ascii="Times New Roman" w:hAnsi="Times New Roman" w:cs="Times New Roman"/>
          <w:lang w:val="en-US"/>
        </w:rPr>
      </w:pPr>
      <w:r w:rsidRPr="00DB4930">
        <w:rPr>
          <w:rFonts w:ascii="Times New Roman" w:hAnsi="Times New Roman" w:cs="Times New Roman"/>
          <w:lang w:val="en-US"/>
        </w:rPr>
        <w:t xml:space="preserve">So far, differences in voting between the national and EP election have been </w:t>
      </w:r>
      <w:proofErr w:type="spellStart"/>
      <w:r w:rsidRPr="00DB4930">
        <w:rPr>
          <w:rFonts w:ascii="Times New Roman" w:hAnsi="Times New Roman" w:cs="Times New Roman"/>
          <w:lang w:val="en-US"/>
        </w:rPr>
        <w:t>analysed</w:t>
      </w:r>
      <w:proofErr w:type="spellEnd"/>
      <w:r w:rsidRPr="00DB4930">
        <w:rPr>
          <w:rFonts w:ascii="Times New Roman" w:hAnsi="Times New Roman" w:cs="Times New Roman"/>
          <w:lang w:val="en-US"/>
        </w:rPr>
        <w:t xml:space="preserve">. </w:t>
      </w:r>
      <w:r w:rsidR="004B0464">
        <w:rPr>
          <w:rFonts w:ascii="Times New Roman" w:hAnsi="Times New Roman" w:cs="Times New Roman"/>
          <w:lang w:val="en-US"/>
        </w:rPr>
        <w:t>To shed more light on the second-</w:t>
      </w:r>
      <w:proofErr w:type="spellStart"/>
      <w:r w:rsidR="004B0464">
        <w:rPr>
          <w:rFonts w:ascii="Times New Roman" w:hAnsi="Times New Roman" w:cs="Times New Roman"/>
          <w:lang w:val="en-US"/>
        </w:rPr>
        <w:t>orderness</w:t>
      </w:r>
      <w:proofErr w:type="spellEnd"/>
      <w:r w:rsidR="004B0464">
        <w:rPr>
          <w:rFonts w:ascii="Times New Roman" w:hAnsi="Times New Roman" w:cs="Times New Roman"/>
          <w:lang w:val="en-US"/>
        </w:rPr>
        <w:t xml:space="preserve"> of the 2019 EP election in Denmark, Table 3 tests a core expectation of second-order theory: that voting </w:t>
      </w:r>
      <w:proofErr w:type="spellStart"/>
      <w:r w:rsidR="004B0464">
        <w:rPr>
          <w:rFonts w:ascii="Times New Roman" w:hAnsi="Times New Roman" w:cs="Times New Roman"/>
          <w:lang w:val="en-US"/>
        </w:rPr>
        <w:t>behaviour</w:t>
      </w:r>
      <w:proofErr w:type="spellEnd"/>
      <w:r w:rsidR="004B0464">
        <w:rPr>
          <w:rFonts w:ascii="Times New Roman" w:hAnsi="Times New Roman" w:cs="Times New Roman"/>
          <w:lang w:val="en-US"/>
        </w:rPr>
        <w:t xml:space="preserve"> in EP contests will in part </w:t>
      </w:r>
      <w:r w:rsidR="00990380">
        <w:rPr>
          <w:rFonts w:ascii="Times New Roman" w:hAnsi="Times New Roman" w:cs="Times New Roman"/>
          <w:lang w:val="en-US"/>
        </w:rPr>
        <w:t>reflect a concern with the</w:t>
      </w:r>
      <w:r w:rsidR="004B0464">
        <w:rPr>
          <w:rFonts w:ascii="Times New Roman" w:hAnsi="Times New Roman" w:cs="Times New Roman"/>
          <w:lang w:val="en-US"/>
        </w:rPr>
        <w:t xml:space="preserve"> non-EU level, ‘secondary’ </w:t>
      </w:r>
      <w:r w:rsidR="00990380">
        <w:rPr>
          <w:rFonts w:ascii="Times New Roman" w:hAnsi="Times New Roman" w:cs="Times New Roman"/>
          <w:lang w:val="en-US"/>
        </w:rPr>
        <w:t>issue</w:t>
      </w:r>
      <w:r w:rsidR="004B0464">
        <w:rPr>
          <w:rFonts w:ascii="Times New Roman" w:hAnsi="Times New Roman" w:cs="Times New Roman"/>
          <w:lang w:val="en-US"/>
        </w:rPr>
        <w:t xml:space="preserve"> of </w:t>
      </w:r>
      <w:r w:rsidR="004B0464" w:rsidRPr="00990380">
        <w:rPr>
          <w:rFonts w:ascii="Times New Roman" w:hAnsi="Times New Roman" w:cs="Times New Roman"/>
          <w:i/>
          <w:lang w:val="en-US"/>
        </w:rPr>
        <w:t>national</w:t>
      </w:r>
      <w:r w:rsidR="004B0464">
        <w:rPr>
          <w:rFonts w:ascii="Times New Roman" w:hAnsi="Times New Roman" w:cs="Times New Roman"/>
          <w:lang w:val="en-US"/>
        </w:rPr>
        <w:t xml:space="preserve"> government performance, </w:t>
      </w:r>
      <w:r w:rsidR="00990380">
        <w:rPr>
          <w:rFonts w:ascii="Times New Roman" w:hAnsi="Times New Roman" w:cs="Times New Roman"/>
          <w:lang w:val="en-US"/>
        </w:rPr>
        <w:t>with dissatisfied individuals using the EP contest to send a signal to the national government by voting for non-governing parties</w:t>
      </w:r>
      <w:r w:rsidR="00194141">
        <w:rPr>
          <w:rFonts w:ascii="Times New Roman" w:hAnsi="Times New Roman" w:cs="Times New Roman"/>
          <w:lang w:val="en-US"/>
        </w:rPr>
        <w:t xml:space="preserve"> </w:t>
      </w:r>
      <w:r w:rsidR="00194141" w:rsidRPr="007F3F36">
        <w:rPr>
          <w:rFonts w:ascii="Times New Roman" w:hAnsi="Times New Roman" w:cs="Times New Roman"/>
          <w:lang w:val="en-US"/>
        </w:rPr>
        <w:t>(</w:t>
      </w:r>
      <w:proofErr w:type="spellStart"/>
      <w:r w:rsidR="00194141" w:rsidRPr="007F3F36">
        <w:rPr>
          <w:rFonts w:ascii="Times New Roman" w:eastAsia="Times New Roman" w:hAnsi="Times New Roman" w:cs="Times New Roman"/>
          <w:lang w:val="en-US"/>
        </w:rPr>
        <w:t>Hix</w:t>
      </w:r>
      <w:proofErr w:type="spellEnd"/>
      <w:r w:rsidR="00194141" w:rsidRPr="007F3F36">
        <w:rPr>
          <w:rFonts w:ascii="Times New Roman" w:eastAsia="Times New Roman" w:hAnsi="Times New Roman" w:cs="Times New Roman"/>
          <w:lang w:val="en-US"/>
        </w:rPr>
        <w:t xml:space="preserve"> and Marsh 2007)</w:t>
      </w:r>
      <w:r w:rsidR="00990380">
        <w:rPr>
          <w:rFonts w:ascii="Times New Roman" w:hAnsi="Times New Roman" w:cs="Times New Roman"/>
          <w:lang w:val="en-US"/>
        </w:rPr>
        <w:t>. To th</w:t>
      </w:r>
      <w:r w:rsidR="0015141F">
        <w:rPr>
          <w:rFonts w:ascii="Times New Roman" w:hAnsi="Times New Roman" w:cs="Times New Roman"/>
          <w:lang w:val="en-US"/>
        </w:rPr>
        <w:t>e</w:t>
      </w:r>
      <w:r w:rsidR="00990380">
        <w:rPr>
          <w:rFonts w:ascii="Times New Roman" w:hAnsi="Times New Roman" w:cs="Times New Roman"/>
          <w:lang w:val="en-US"/>
        </w:rPr>
        <w:t xml:space="preserve"> extent that this occurs, the EP contest is used </w:t>
      </w:r>
      <w:r w:rsidR="00194141">
        <w:rPr>
          <w:rFonts w:ascii="Times New Roman" w:hAnsi="Times New Roman" w:cs="Times New Roman"/>
          <w:lang w:val="en-US"/>
        </w:rPr>
        <w:t xml:space="preserve">by voters </w:t>
      </w:r>
      <w:r w:rsidR="00990380">
        <w:rPr>
          <w:rFonts w:ascii="Times New Roman" w:hAnsi="Times New Roman" w:cs="Times New Roman"/>
          <w:lang w:val="en-US"/>
        </w:rPr>
        <w:t xml:space="preserve">as leverage to influence national politics, rather than EU policy-making. </w:t>
      </w:r>
      <w:r w:rsidR="00893723">
        <w:rPr>
          <w:rFonts w:ascii="Times New Roman" w:hAnsi="Times New Roman" w:cs="Times New Roman"/>
          <w:lang w:val="en-US"/>
        </w:rPr>
        <w:t xml:space="preserve">Of the six parties listed in Table 3, </w:t>
      </w:r>
      <w:proofErr w:type="spellStart"/>
      <w:r w:rsidR="00893723" w:rsidRPr="00DB4930">
        <w:rPr>
          <w:rFonts w:ascii="Times New Roman" w:hAnsi="Times New Roman" w:cs="Times New Roman"/>
          <w:lang w:val="en-US"/>
        </w:rPr>
        <w:t>Venstre</w:t>
      </w:r>
      <w:proofErr w:type="spellEnd"/>
      <w:r w:rsidR="00893723">
        <w:rPr>
          <w:rFonts w:ascii="Times New Roman" w:hAnsi="Times New Roman" w:cs="Times New Roman"/>
          <w:lang w:val="en-US"/>
        </w:rPr>
        <w:t xml:space="preserve"> </w:t>
      </w:r>
      <w:r w:rsidR="00893723" w:rsidRPr="00DB4930">
        <w:rPr>
          <w:rFonts w:ascii="Times New Roman" w:hAnsi="Times New Roman" w:cs="Times New Roman"/>
          <w:lang w:val="en-US"/>
        </w:rPr>
        <w:t>led the governing coalition</w:t>
      </w:r>
      <w:r w:rsidR="00893723">
        <w:rPr>
          <w:rFonts w:ascii="Times New Roman" w:hAnsi="Times New Roman" w:cs="Times New Roman"/>
          <w:lang w:val="en-US"/>
        </w:rPr>
        <w:t xml:space="preserve"> </w:t>
      </w:r>
      <w:r w:rsidR="0058294F">
        <w:rPr>
          <w:rFonts w:ascii="Times New Roman" w:hAnsi="Times New Roman" w:cs="Times New Roman"/>
          <w:lang w:val="en-US"/>
        </w:rPr>
        <w:t xml:space="preserve">in the run up to </w:t>
      </w:r>
      <w:r w:rsidR="00893723">
        <w:rPr>
          <w:rFonts w:ascii="Times New Roman" w:hAnsi="Times New Roman" w:cs="Times New Roman"/>
          <w:lang w:val="en-US"/>
        </w:rPr>
        <w:t>the 2019 EP election</w:t>
      </w:r>
      <w:r w:rsidR="00893723" w:rsidRPr="00DB4930">
        <w:rPr>
          <w:rFonts w:ascii="Times New Roman" w:hAnsi="Times New Roman" w:cs="Times New Roman"/>
          <w:lang w:val="en-US"/>
        </w:rPr>
        <w:t>, enjoying parliamentary support from the Danish People’s Party.</w:t>
      </w:r>
      <w:r w:rsidR="00893723">
        <w:rPr>
          <w:rStyle w:val="Fodnotehenvisning"/>
          <w:rFonts w:ascii="Times New Roman" w:hAnsi="Times New Roman" w:cs="Times New Roman"/>
          <w:lang w:val="en-US"/>
        </w:rPr>
        <w:footnoteReference w:id="5"/>
      </w:r>
      <w:r w:rsidR="00893723" w:rsidRPr="00DB4930">
        <w:rPr>
          <w:rFonts w:ascii="Times New Roman" w:hAnsi="Times New Roman" w:cs="Times New Roman"/>
          <w:lang w:val="en-US"/>
        </w:rPr>
        <w:t xml:space="preserve"> Thus, second-order theory would predict that there should be a tendency for those </w:t>
      </w:r>
      <w:r w:rsidR="00893723">
        <w:rPr>
          <w:rFonts w:ascii="Times New Roman" w:hAnsi="Times New Roman" w:cs="Times New Roman"/>
          <w:lang w:val="en-US"/>
        </w:rPr>
        <w:t>dis</w:t>
      </w:r>
      <w:r w:rsidR="00893723" w:rsidRPr="00DB4930">
        <w:rPr>
          <w:rFonts w:ascii="Times New Roman" w:hAnsi="Times New Roman" w:cs="Times New Roman"/>
          <w:lang w:val="en-US"/>
        </w:rPr>
        <w:t xml:space="preserve">satisfied with national government performance to vote </w:t>
      </w:r>
      <w:r w:rsidR="00893723">
        <w:rPr>
          <w:rFonts w:ascii="Times New Roman" w:hAnsi="Times New Roman" w:cs="Times New Roman"/>
          <w:lang w:val="en-US"/>
        </w:rPr>
        <w:t xml:space="preserve">against these two parties in </w:t>
      </w:r>
      <w:proofErr w:type="spellStart"/>
      <w:r w:rsidR="00893723">
        <w:rPr>
          <w:rFonts w:ascii="Times New Roman" w:hAnsi="Times New Roman" w:cs="Times New Roman"/>
          <w:lang w:val="en-US"/>
        </w:rPr>
        <w:t>favour</w:t>
      </w:r>
      <w:proofErr w:type="spellEnd"/>
      <w:r w:rsidR="00893723">
        <w:rPr>
          <w:rFonts w:ascii="Times New Roman" w:hAnsi="Times New Roman" w:cs="Times New Roman"/>
          <w:lang w:val="en-US"/>
        </w:rPr>
        <w:t xml:space="preserve"> of non-governing parties; and for those satisfied with the government to more strongly support governing parties.</w:t>
      </w:r>
    </w:p>
    <w:p w14:paraId="0046737C" w14:textId="7BBF1AB7" w:rsidR="006036E4" w:rsidRPr="00DB4930" w:rsidRDefault="003C6900" w:rsidP="006B655F">
      <w:pPr>
        <w:spacing w:line="360" w:lineRule="auto"/>
        <w:jc w:val="both"/>
        <w:rPr>
          <w:rFonts w:ascii="Times New Roman" w:hAnsi="Times New Roman" w:cs="Times New Roman"/>
          <w:lang w:val="en-US"/>
        </w:rPr>
      </w:pPr>
      <w:r w:rsidRPr="00DB4930">
        <w:rPr>
          <w:rFonts w:ascii="Times New Roman" w:hAnsi="Times New Roman" w:cs="Times New Roman"/>
          <w:lang w:val="en-US"/>
        </w:rPr>
        <w:tab/>
        <w:t>Table 3 clearly supports this expectation</w:t>
      </w:r>
      <w:r w:rsidR="006036E4" w:rsidRPr="00DB4930">
        <w:rPr>
          <w:rFonts w:ascii="Times New Roman" w:hAnsi="Times New Roman" w:cs="Times New Roman"/>
          <w:lang w:val="en-US"/>
        </w:rPr>
        <w:t>:</w:t>
      </w:r>
      <w:r w:rsidRPr="00DB4930">
        <w:rPr>
          <w:rFonts w:ascii="Times New Roman" w:hAnsi="Times New Roman" w:cs="Times New Roman"/>
          <w:lang w:val="en-US"/>
        </w:rPr>
        <w:t xml:space="preserve"> </w:t>
      </w:r>
      <w:r w:rsidR="000007C2">
        <w:rPr>
          <w:rFonts w:ascii="Times New Roman" w:hAnsi="Times New Roman" w:cs="Times New Roman"/>
          <w:lang w:val="en-US"/>
        </w:rPr>
        <w:t>62.5</w:t>
      </w:r>
      <w:r w:rsidRPr="00DB4930">
        <w:rPr>
          <w:rFonts w:ascii="Times New Roman" w:hAnsi="Times New Roman" w:cs="Times New Roman"/>
          <w:lang w:val="en-US"/>
        </w:rPr>
        <w:t>% of respondents who reported satisfaction with national government performa</w:t>
      </w:r>
      <w:r w:rsidR="004722D5">
        <w:rPr>
          <w:rFonts w:ascii="Times New Roman" w:hAnsi="Times New Roman" w:cs="Times New Roman"/>
          <w:lang w:val="en-US"/>
        </w:rPr>
        <w:t xml:space="preserve">nce voted for either </w:t>
      </w:r>
      <w:proofErr w:type="spellStart"/>
      <w:r w:rsidR="004722D5">
        <w:rPr>
          <w:rFonts w:ascii="Times New Roman" w:hAnsi="Times New Roman" w:cs="Times New Roman"/>
          <w:lang w:val="en-US"/>
        </w:rPr>
        <w:t>Venstre</w:t>
      </w:r>
      <w:proofErr w:type="spellEnd"/>
      <w:r w:rsidR="004722D5">
        <w:rPr>
          <w:rFonts w:ascii="Times New Roman" w:hAnsi="Times New Roman" w:cs="Times New Roman"/>
          <w:lang w:val="en-US"/>
        </w:rPr>
        <w:t xml:space="preserve"> (48.5</w:t>
      </w:r>
      <w:r w:rsidRPr="00DB4930">
        <w:rPr>
          <w:rFonts w:ascii="Times New Roman" w:hAnsi="Times New Roman" w:cs="Times New Roman"/>
          <w:lang w:val="en-US"/>
        </w:rPr>
        <w:t xml:space="preserve">%) or </w:t>
      </w:r>
      <w:r w:rsidR="004722D5">
        <w:rPr>
          <w:rFonts w:ascii="Times New Roman" w:hAnsi="Times New Roman" w:cs="Times New Roman"/>
          <w:lang w:val="en-US"/>
        </w:rPr>
        <w:t>the Danish People’s Party (14</w:t>
      </w:r>
      <w:r w:rsidR="000007C2">
        <w:rPr>
          <w:rFonts w:ascii="Times New Roman" w:hAnsi="Times New Roman" w:cs="Times New Roman"/>
          <w:lang w:val="en-US"/>
        </w:rPr>
        <w:t>%). Meanwhile only 11.9</w:t>
      </w:r>
      <w:r w:rsidRPr="00DB4930">
        <w:rPr>
          <w:rFonts w:ascii="Times New Roman" w:hAnsi="Times New Roman" w:cs="Times New Roman"/>
          <w:lang w:val="en-US"/>
        </w:rPr>
        <w:t xml:space="preserve">% of those who were dissatisfied voted for </w:t>
      </w:r>
      <w:r w:rsidR="006036E4" w:rsidRPr="00DB4930">
        <w:rPr>
          <w:rFonts w:ascii="Times New Roman" w:hAnsi="Times New Roman" w:cs="Times New Roman"/>
          <w:lang w:val="en-US"/>
        </w:rPr>
        <w:t>one these two parties</w:t>
      </w:r>
      <w:r w:rsidR="00893723">
        <w:rPr>
          <w:rFonts w:ascii="Times New Roman" w:hAnsi="Times New Roman" w:cs="Times New Roman"/>
          <w:lang w:val="en-US"/>
        </w:rPr>
        <w:t xml:space="preserve">: 4.8% for </w:t>
      </w:r>
      <w:proofErr w:type="spellStart"/>
      <w:r w:rsidR="00893723">
        <w:rPr>
          <w:rFonts w:ascii="Times New Roman" w:hAnsi="Times New Roman" w:cs="Times New Roman"/>
          <w:lang w:val="en-US"/>
        </w:rPr>
        <w:t>Venstre</w:t>
      </w:r>
      <w:proofErr w:type="spellEnd"/>
      <w:r w:rsidR="00893723">
        <w:rPr>
          <w:rFonts w:ascii="Times New Roman" w:hAnsi="Times New Roman" w:cs="Times New Roman"/>
          <w:lang w:val="en-US"/>
        </w:rPr>
        <w:t xml:space="preserve"> and 7.1</w:t>
      </w:r>
      <w:r w:rsidRPr="00DB4930">
        <w:rPr>
          <w:rFonts w:ascii="Times New Roman" w:hAnsi="Times New Roman" w:cs="Times New Roman"/>
          <w:lang w:val="en-US"/>
        </w:rPr>
        <w:t>% for the Danish People’s Party.</w:t>
      </w:r>
      <w:r w:rsidR="006036E4" w:rsidRPr="00DB4930">
        <w:rPr>
          <w:rFonts w:ascii="Times New Roman" w:hAnsi="Times New Roman" w:cs="Times New Roman"/>
          <w:lang w:val="en-US"/>
        </w:rPr>
        <w:t xml:space="preserve"> Convers</w:t>
      </w:r>
      <w:r w:rsidR="000007C2">
        <w:rPr>
          <w:rFonts w:ascii="Times New Roman" w:hAnsi="Times New Roman" w:cs="Times New Roman"/>
          <w:lang w:val="en-US"/>
        </w:rPr>
        <w:t>ely, only 22.3</w:t>
      </w:r>
      <w:r w:rsidR="006036E4" w:rsidRPr="00DB4930">
        <w:rPr>
          <w:rFonts w:ascii="Times New Roman" w:hAnsi="Times New Roman" w:cs="Times New Roman"/>
          <w:lang w:val="en-US"/>
        </w:rPr>
        <w:t>% of respondents reporting satisfaction with national government performance reported voting for one of the four listed non-govern</w:t>
      </w:r>
      <w:r w:rsidR="00893723">
        <w:rPr>
          <w:rFonts w:ascii="Times New Roman" w:hAnsi="Times New Roman" w:cs="Times New Roman"/>
          <w:lang w:val="en-US"/>
        </w:rPr>
        <w:t>ing parties (Social Democrats 14.3</w:t>
      </w:r>
      <w:r w:rsidR="006036E4" w:rsidRPr="00DB4930">
        <w:rPr>
          <w:rFonts w:ascii="Times New Roman" w:hAnsi="Times New Roman" w:cs="Times New Roman"/>
          <w:lang w:val="en-US"/>
        </w:rPr>
        <w:t xml:space="preserve">%; </w:t>
      </w:r>
      <w:proofErr w:type="spellStart"/>
      <w:r w:rsidR="000007C2" w:rsidRPr="000007C2">
        <w:rPr>
          <w:rFonts w:ascii="Times New Roman" w:hAnsi="Times New Roman" w:cs="Times New Roman"/>
          <w:lang w:val="en-US"/>
        </w:rPr>
        <w:t>Enhedslisten</w:t>
      </w:r>
      <w:proofErr w:type="spellEnd"/>
      <w:r w:rsidR="005568C3" w:rsidRPr="00DB4930">
        <w:rPr>
          <w:rFonts w:ascii="Times New Roman" w:hAnsi="Times New Roman" w:cs="Times New Roman"/>
          <w:lang w:val="en-US"/>
        </w:rPr>
        <w:t xml:space="preserve"> </w:t>
      </w:r>
      <w:r w:rsidR="006036E4" w:rsidRPr="00DB4930">
        <w:rPr>
          <w:rFonts w:ascii="Times New Roman" w:hAnsi="Times New Roman" w:cs="Times New Roman"/>
          <w:lang w:val="en-US"/>
        </w:rPr>
        <w:t>0</w:t>
      </w:r>
      <w:r w:rsidR="000007C2">
        <w:rPr>
          <w:rFonts w:ascii="Times New Roman" w:hAnsi="Times New Roman" w:cs="Times New Roman"/>
          <w:lang w:val="en-US"/>
        </w:rPr>
        <w:t>.8</w:t>
      </w:r>
      <w:r w:rsidR="006036E4" w:rsidRPr="00DB4930">
        <w:rPr>
          <w:rFonts w:ascii="Times New Roman" w:hAnsi="Times New Roman" w:cs="Times New Roman"/>
          <w:lang w:val="en-US"/>
        </w:rPr>
        <w:t>%; the Social Liberal</w:t>
      </w:r>
      <w:r w:rsidR="0058294F">
        <w:rPr>
          <w:rFonts w:ascii="Times New Roman" w:hAnsi="Times New Roman" w:cs="Times New Roman"/>
          <w:lang w:val="en-US"/>
        </w:rPr>
        <w:t>s</w:t>
      </w:r>
      <w:r w:rsidR="006036E4" w:rsidRPr="00DB4930">
        <w:rPr>
          <w:rFonts w:ascii="Times New Roman" w:hAnsi="Times New Roman" w:cs="Times New Roman"/>
          <w:lang w:val="en-US"/>
        </w:rPr>
        <w:t xml:space="preserve"> 2</w:t>
      </w:r>
      <w:r w:rsidR="000007C2">
        <w:rPr>
          <w:rFonts w:ascii="Times New Roman" w:hAnsi="Times New Roman" w:cs="Times New Roman"/>
          <w:lang w:val="en-US"/>
        </w:rPr>
        <w:t>.9</w:t>
      </w:r>
      <w:r w:rsidR="006036E4" w:rsidRPr="00DB4930">
        <w:rPr>
          <w:rFonts w:ascii="Times New Roman" w:hAnsi="Times New Roman" w:cs="Times New Roman"/>
          <w:lang w:val="en-US"/>
        </w:rPr>
        <w:t>%; Socialist People’s Party 4</w:t>
      </w:r>
      <w:r w:rsidR="000007C2">
        <w:rPr>
          <w:rFonts w:ascii="Times New Roman" w:hAnsi="Times New Roman" w:cs="Times New Roman"/>
          <w:lang w:val="en-US"/>
        </w:rPr>
        <w:t>.3%), while 75.2</w:t>
      </w:r>
      <w:r w:rsidR="006036E4" w:rsidRPr="00DB4930">
        <w:rPr>
          <w:rFonts w:ascii="Times New Roman" w:hAnsi="Times New Roman" w:cs="Times New Roman"/>
          <w:lang w:val="en-US"/>
        </w:rPr>
        <w:t>% of dissatisfied respondents report</w:t>
      </w:r>
      <w:r w:rsidR="000007C2">
        <w:rPr>
          <w:rFonts w:ascii="Times New Roman" w:hAnsi="Times New Roman" w:cs="Times New Roman"/>
          <w:lang w:val="en-US"/>
        </w:rPr>
        <w:t>ed doing so (Social Democrats 30.5</w:t>
      </w:r>
      <w:r w:rsidR="006036E4" w:rsidRPr="00DB4930">
        <w:rPr>
          <w:rFonts w:ascii="Times New Roman" w:hAnsi="Times New Roman" w:cs="Times New Roman"/>
          <w:lang w:val="en-US"/>
        </w:rPr>
        <w:t xml:space="preserve">%; </w:t>
      </w:r>
      <w:proofErr w:type="spellStart"/>
      <w:r w:rsidR="000007C2" w:rsidRPr="000007C2">
        <w:rPr>
          <w:rFonts w:ascii="Times New Roman" w:hAnsi="Times New Roman" w:cs="Times New Roman"/>
          <w:lang w:val="en-US"/>
        </w:rPr>
        <w:t>Enhedslisten</w:t>
      </w:r>
      <w:proofErr w:type="spellEnd"/>
      <w:r w:rsidR="000007C2">
        <w:rPr>
          <w:rFonts w:ascii="Times New Roman" w:hAnsi="Times New Roman" w:cs="Times New Roman"/>
          <w:lang w:val="en-US"/>
        </w:rPr>
        <w:t xml:space="preserve"> 10.1</w:t>
      </w:r>
      <w:r w:rsidR="006036E4" w:rsidRPr="00DB4930">
        <w:rPr>
          <w:rFonts w:ascii="Times New Roman" w:hAnsi="Times New Roman" w:cs="Times New Roman"/>
          <w:lang w:val="en-US"/>
        </w:rPr>
        <w:t>%; th</w:t>
      </w:r>
      <w:r w:rsidR="000007C2">
        <w:rPr>
          <w:rFonts w:ascii="Times New Roman" w:hAnsi="Times New Roman" w:cs="Times New Roman"/>
          <w:lang w:val="en-US"/>
        </w:rPr>
        <w:t>e Social Liberal</w:t>
      </w:r>
      <w:r w:rsidR="0058294F">
        <w:rPr>
          <w:rFonts w:ascii="Times New Roman" w:hAnsi="Times New Roman" w:cs="Times New Roman"/>
          <w:lang w:val="en-US"/>
        </w:rPr>
        <w:t>s</w:t>
      </w:r>
      <w:r w:rsidR="000007C2">
        <w:rPr>
          <w:rFonts w:ascii="Times New Roman" w:hAnsi="Times New Roman" w:cs="Times New Roman"/>
          <w:lang w:val="en-US"/>
        </w:rPr>
        <w:t xml:space="preserve"> 14.6%; Socialist People’s Party 20</w:t>
      </w:r>
      <w:r w:rsidR="006036E4" w:rsidRPr="00DB4930">
        <w:rPr>
          <w:rFonts w:ascii="Times New Roman" w:hAnsi="Times New Roman" w:cs="Times New Roman"/>
          <w:lang w:val="en-US"/>
        </w:rPr>
        <w:t xml:space="preserve">%). </w:t>
      </w:r>
      <w:r w:rsidR="006878BD" w:rsidRPr="00DB4930">
        <w:rPr>
          <w:rFonts w:ascii="Times New Roman" w:hAnsi="Times New Roman" w:cs="Times New Roman"/>
          <w:lang w:val="en-US"/>
        </w:rPr>
        <w:t xml:space="preserve">In other words, typical of a second-order election, there is a clear link between respondents’ evaluations of national politics, on the one hand, and vote choice in the European election, on the other. Of course, this link could reflect vote choice influencing performance evaluations as much as the other way around. Nevertheless, it is unlikely that EP vote choice </w:t>
      </w:r>
      <w:r w:rsidR="000007C2">
        <w:rPr>
          <w:rFonts w:ascii="Times New Roman" w:hAnsi="Times New Roman" w:cs="Times New Roman"/>
          <w:lang w:val="en-US"/>
        </w:rPr>
        <w:t>fully determines</w:t>
      </w:r>
      <w:r w:rsidR="006878BD" w:rsidRPr="00DB4930">
        <w:rPr>
          <w:rFonts w:ascii="Times New Roman" w:hAnsi="Times New Roman" w:cs="Times New Roman"/>
          <w:lang w:val="en-US"/>
        </w:rPr>
        <w:t xml:space="preserve"> basic evaluations of national politics and</w:t>
      </w:r>
      <w:r w:rsidR="006B2934">
        <w:rPr>
          <w:rFonts w:ascii="Times New Roman" w:hAnsi="Times New Roman" w:cs="Times New Roman"/>
          <w:lang w:val="en-US"/>
        </w:rPr>
        <w:t xml:space="preserve">, as such, it is likely that </w:t>
      </w:r>
      <w:r w:rsidR="000007C2">
        <w:rPr>
          <w:rFonts w:ascii="Times New Roman" w:hAnsi="Times New Roman" w:cs="Times New Roman"/>
          <w:lang w:val="en-US"/>
        </w:rPr>
        <w:t>EP vote choice is at least in part dependent upon evaluations of national government performance.</w:t>
      </w:r>
    </w:p>
    <w:p w14:paraId="09A5AC99" w14:textId="16746845" w:rsidR="00051EFC" w:rsidRPr="004722D5" w:rsidRDefault="00AA4124" w:rsidP="00051EFC">
      <w:pPr>
        <w:spacing w:line="360" w:lineRule="auto"/>
        <w:jc w:val="both"/>
        <w:rPr>
          <w:rFonts w:ascii="Times New Roman" w:hAnsi="Times New Roman" w:cs="Times New Roman"/>
          <w:lang w:val="en-US"/>
        </w:rPr>
      </w:pPr>
      <w:r w:rsidRPr="004722D5">
        <w:rPr>
          <w:rFonts w:ascii="Times New Roman" w:hAnsi="Times New Roman" w:cs="Times New Roman"/>
          <w:b/>
          <w:bCs/>
          <w:lang w:val="en-US"/>
        </w:rPr>
        <w:br/>
      </w:r>
      <w:r w:rsidR="00051EFC" w:rsidRPr="004722D5">
        <w:rPr>
          <w:rFonts w:ascii="Times New Roman" w:hAnsi="Times New Roman" w:cs="Times New Roman"/>
          <w:b/>
          <w:lang w:val="en-US"/>
        </w:rPr>
        <w:t>Table 3</w:t>
      </w:r>
      <w:r w:rsidR="00051EFC" w:rsidRPr="004722D5">
        <w:rPr>
          <w:rFonts w:ascii="Times New Roman" w:hAnsi="Times New Roman" w:cs="Times New Roman"/>
          <w:lang w:val="en-US"/>
        </w:rPr>
        <w:t>: 2019 EP vote choice (post-election report) by satisfaction with national government (pre-election)</w:t>
      </w:r>
    </w:p>
    <w:tbl>
      <w:tblPr>
        <w:tblW w:w="8820" w:type="dxa"/>
        <w:jc w:val="center"/>
        <w:tblLayout w:type="fixed"/>
        <w:tblLook w:val="0000" w:firstRow="0" w:lastRow="0" w:firstColumn="0" w:lastColumn="0" w:noHBand="0" w:noVBand="0"/>
      </w:tblPr>
      <w:tblGrid>
        <w:gridCol w:w="3330"/>
        <w:gridCol w:w="1350"/>
        <w:gridCol w:w="1111"/>
        <w:gridCol w:w="1679"/>
        <w:gridCol w:w="1350"/>
      </w:tblGrid>
      <w:tr w:rsidR="00E91C5F" w14:paraId="7A7F03E5" w14:textId="77777777" w:rsidTr="00AF7855">
        <w:trPr>
          <w:trHeight w:val="326"/>
          <w:jc w:val="center"/>
        </w:trPr>
        <w:tc>
          <w:tcPr>
            <w:tcW w:w="3330" w:type="dxa"/>
            <w:tcBorders>
              <w:top w:val="single" w:sz="4" w:space="0" w:color="auto"/>
              <w:left w:val="nil"/>
              <w:bottom w:val="nil"/>
              <w:right w:val="nil"/>
            </w:tcBorders>
          </w:tcPr>
          <w:p w14:paraId="637FACD8" w14:textId="77777777" w:rsidR="00E91C5F" w:rsidRPr="000007C2" w:rsidRDefault="00E91C5F" w:rsidP="00ED2140">
            <w:pPr>
              <w:widowControl w:val="0"/>
              <w:autoSpaceDE w:val="0"/>
              <w:autoSpaceDN w:val="0"/>
              <w:adjustRightInd w:val="0"/>
              <w:rPr>
                <w:rFonts w:ascii="Times New Roman" w:hAnsi="Times New Roman" w:cs="Times New Roman"/>
                <w:lang w:val="en-US"/>
              </w:rPr>
            </w:pPr>
          </w:p>
        </w:tc>
        <w:tc>
          <w:tcPr>
            <w:tcW w:w="5490" w:type="dxa"/>
            <w:gridSpan w:val="4"/>
            <w:tcBorders>
              <w:top w:val="single" w:sz="4" w:space="0" w:color="auto"/>
              <w:left w:val="nil"/>
              <w:bottom w:val="nil"/>
              <w:right w:val="nil"/>
            </w:tcBorders>
          </w:tcPr>
          <w:p w14:paraId="30FD24F1" w14:textId="3F26E9F2" w:rsidR="00E91C5F" w:rsidRPr="00AF7855" w:rsidRDefault="00E91C5F" w:rsidP="00ED2140">
            <w:pPr>
              <w:widowControl w:val="0"/>
              <w:autoSpaceDE w:val="0"/>
              <w:autoSpaceDN w:val="0"/>
              <w:adjustRightInd w:val="0"/>
              <w:jc w:val="center"/>
              <w:rPr>
                <w:rFonts w:ascii="Times New Roman" w:hAnsi="Times New Roman" w:cs="Times New Roman"/>
                <w:i/>
              </w:rPr>
            </w:pPr>
            <w:r w:rsidRPr="00AF7855">
              <w:rPr>
                <w:rFonts w:ascii="Times New Roman" w:hAnsi="Times New Roman" w:cs="Times New Roman"/>
                <w:i/>
              </w:rPr>
              <w:t>Satisfaction with national government</w:t>
            </w:r>
          </w:p>
        </w:tc>
      </w:tr>
      <w:tr w:rsidR="004722D5" w14:paraId="49321F66" w14:textId="77777777" w:rsidTr="00E2310E">
        <w:trPr>
          <w:trHeight w:val="264"/>
          <w:jc w:val="center"/>
        </w:trPr>
        <w:tc>
          <w:tcPr>
            <w:tcW w:w="3330" w:type="dxa"/>
            <w:tcBorders>
              <w:top w:val="single" w:sz="4" w:space="0" w:color="auto"/>
              <w:left w:val="nil"/>
              <w:bottom w:val="nil"/>
              <w:right w:val="nil"/>
            </w:tcBorders>
          </w:tcPr>
          <w:p w14:paraId="78B74354" w14:textId="42272246" w:rsidR="004722D5" w:rsidRPr="00AF7855" w:rsidRDefault="00E91C5F" w:rsidP="00ED2140">
            <w:pPr>
              <w:widowControl w:val="0"/>
              <w:autoSpaceDE w:val="0"/>
              <w:autoSpaceDN w:val="0"/>
              <w:adjustRightInd w:val="0"/>
              <w:rPr>
                <w:rFonts w:ascii="Times New Roman" w:hAnsi="Times New Roman" w:cs="Times New Roman"/>
                <w:i/>
                <w:lang w:val="en-US"/>
              </w:rPr>
            </w:pPr>
            <w:r w:rsidRPr="00AF7855">
              <w:rPr>
                <w:rFonts w:ascii="Times New Roman" w:hAnsi="Times New Roman" w:cs="Times New Roman"/>
                <w:i/>
                <w:lang w:val="en-US"/>
              </w:rPr>
              <w:t>EP Vote Choice</w:t>
            </w:r>
          </w:p>
        </w:tc>
        <w:tc>
          <w:tcPr>
            <w:tcW w:w="1350" w:type="dxa"/>
            <w:tcBorders>
              <w:top w:val="single" w:sz="4" w:space="0" w:color="auto"/>
              <w:left w:val="nil"/>
              <w:bottom w:val="nil"/>
              <w:right w:val="nil"/>
            </w:tcBorders>
          </w:tcPr>
          <w:p w14:paraId="299ED36B" w14:textId="77777777"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Satisfied</w:t>
            </w:r>
          </w:p>
        </w:tc>
        <w:tc>
          <w:tcPr>
            <w:tcW w:w="1111" w:type="dxa"/>
            <w:tcBorders>
              <w:top w:val="single" w:sz="4" w:space="0" w:color="auto"/>
              <w:left w:val="nil"/>
              <w:bottom w:val="nil"/>
              <w:right w:val="nil"/>
            </w:tcBorders>
          </w:tcPr>
          <w:p w14:paraId="4D218AE9" w14:textId="77777777"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Middling</w:t>
            </w:r>
          </w:p>
        </w:tc>
        <w:tc>
          <w:tcPr>
            <w:tcW w:w="1679" w:type="dxa"/>
            <w:tcBorders>
              <w:top w:val="single" w:sz="4" w:space="0" w:color="auto"/>
              <w:left w:val="nil"/>
              <w:bottom w:val="nil"/>
              <w:right w:val="nil"/>
            </w:tcBorders>
          </w:tcPr>
          <w:p w14:paraId="1ADADAB9" w14:textId="77777777"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Dissatisfied</w:t>
            </w:r>
          </w:p>
        </w:tc>
        <w:tc>
          <w:tcPr>
            <w:tcW w:w="1350" w:type="dxa"/>
            <w:tcBorders>
              <w:top w:val="single" w:sz="4" w:space="0" w:color="auto"/>
              <w:left w:val="nil"/>
              <w:bottom w:val="nil"/>
              <w:right w:val="nil"/>
            </w:tcBorders>
          </w:tcPr>
          <w:p w14:paraId="5905A906" w14:textId="77777777"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Total</w:t>
            </w:r>
          </w:p>
        </w:tc>
      </w:tr>
      <w:tr w:rsidR="004722D5" w14:paraId="38516A26" w14:textId="77777777" w:rsidTr="00E2310E">
        <w:trPr>
          <w:trHeight w:val="293"/>
          <w:jc w:val="center"/>
        </w:trPr>
        <w:tc>
          <w:tcPr>
            <w:tcW w:w="3330" w:type="dxa"/>
            <w:tcBorders>
              <w:top w:val="single" w:sz="4" w:space="0" w:color="auto"/>
              <w:left w:val="nil"/>
              <w:bottom w:val="nil"/>
              <w:right w:val="nil"/>
            </w:tcBorders>
          </w:tcPr>
          <w:p w14:paraId="22EB6C31" w14:textId="0E808E9F" w:rsidR="004722D5" w:rsidRDefault="00E2310E" w:rsidP="00ED2140">
            <w:pPr>
              <w:widowControl w:val="0"/>
              <w:autoSpaceDE w:val="0"/>
              <w:autoSpaceDN w:val="0"/>
              <w:adjustRightInd w:val="0"/>
              <w:rPr>
                <w:rFonts w:ascii="Times New Roman" w:hAnsi="Times New Roman" w:cs="Times New Roman"/>
              </w:rPr>
            </w:pPr>
            <w:r w:rsidRPr="00E2310E">
              <w:rPr>
                <w:rFonts w:ascii="Times New Roman" w:hAnsi="Times New Roman" w:cs="Times New Roman"/>
              </w:rPr>
              <w:t>Social Democrats (A)</w:t>
            </w:r>
          </w:p>
        </w:tc>
        <w:tc>
          <w:tcPr>
            <w:tcW w:w="1350" w:type="dxa"/>
            <w:tcBorders>
              <w:top w:val="single" w:sz="4" w:space="0" w:color="auto"/>
              <w:left w:val="nil"/>
              <w:bottom w:val="nil"/>
              <w:right w:val="nil"/>
            </w:tcBorders>
          </w:tcPr>
          <w:p w14:paraId="3CA24900" w14:textId="7DADED71"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14.3</w:t>
            </w:r>
            <w:r w:rsidR="00E2310E">
              <w:rPr>
                <w:rFonts w:ascii="Times New Roman" w:hAnsi="Times New Roman" w:cs="Times New Roman"/>
              </w:rPr>
              <w:t>%</w:t>
            </w:r>
          </w:p>
        </w:tc>
        <w:tc>
          <w:tcPr>
            <w:tcW w:w="1111" w:type="dxa"/>
            <w:tcBorders>
              <w:top w:val="single" w:sz="4" w:space="0" w:color="auto"/>
              <w:left w:val="nil"/>
              <w:bottom w:val="nil"/>
              <w:right w:val="nil"/>
            </w:tcBorders>
          </w:tcPr>
          <w:p w14:paraId="38D75D7E" w14:textId="0FBBEC6F"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21.7</w:t>
            </w:r>
            <w:r w:rsidR="00E2310E">
              <w:rPr>
                <w:rFonts w:ascii="Times New Roman" w:hAnsi="Times New Roman" w:cs="Times New Roman"/>
              </w:rPr>
              <w:t>%</w:t>
            </w:r>
          </w:p>
        </w:tc>
        <w:tc>
          <w:tcPr>
            <w:tcW w:w="1679" w:type="dxa"/>
            <w:tcBorders>
              <w:top w:val="single" w:sz="4" w:space="0" w:color="auto"/>
              <w:left w:val="nil"/>
              <w:bottom w:val="nil"/>
              <w:right w:val="nil"/>
            </w:tcBorders>
          </w:tcPr>
          <w:p w14:paraId="392A721B" w14:textId="024B21BB"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30.5</w:t>
            </w:r>
            <w:r w:rsidR="00E2310E">
              <w:rPr>
                <w:rFonts w:ascii="Times New Roman" w:hAnsi="Times New Roman" w:cs="Times New Roman"/>
              </w:rPr>
              <w:t>%</w:t>
            </w:r>
          </w:p>
        </w:tc>
        <w:tc>
          <w:tcPr>
            <w:tcW w:w="1350" w:type="dxa"/>
            <w:tcBorders>
              <w:top w:val="single" w:sz="4" w:space="0" w:color="auto"/>
              <w:left w:val="nil"/>
              <w:bottom w:val="nil"/>
              <w:right w:val="nil"/>
            </w:tcBorders>
          </w:tcPr>
          <w:p w14:paraId="2C684CA7" w14:textId="37B47679"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21.7</w:t>
            </w:r>
            <w:r w:rsidR="00E2310E">
              <w:rPr>
                <w:rFonts w:ascii="Times New Roman" w:hAnsi="Times New Roman" w:cs="Times New Roman"/>
              </w:rPr>
              <w:t>%</w:t>
            </w:r>
          </w:p>
        </w:tc>
      </w:tr>
      <w:tr w:rsidR="004722D5" w14:paraId="5D9FEB19" w14:textId="77777777" w:rsidTr="00E2310E">
        <w:trPr>
          <w:trHeight w:val="277"/>
          <w:jc w:val="center"/>
        </w:trPr>
        <w:tc>
          <w:tcPr>
            <w:tcW w:w="3330" w:type="dxa"/>
            <w:tcBorders>
              <w:top w:val="nil"/>
              <w:left w:val="nil"/>
              <w:bottom w:val="nil"/>
              <w:right w:val="nil"/>
            </w:tcBorders>
          </w:tcPr>
          <w:p w14:paraId="26621896" w14:textId="544A124A" w:rsidR="004722D5" w:rsidRDefault="00E2310E" w:rsidP="00ED2140">
            <w:pPr>
              <w:widowControl w:val="0"/>
              <w:autoSpaceDE w:val="0"/>
              <w:autoSpaceDN w:val="0"/>
              <w:adjustRightInd w:val="0"/>
              <w:rPr>
                <w:rFonts w:ascii="Times New Roman" w:hAnsi="Times New Roman" w:cs="Times New Roman"/>
              </w:rPr>
            </w:pPr>
            <w:r w:rsidRPr="00E2310E">
              <w:rPr>
                <w:rFonts w:ascii="Times New Roman" w:hAnsi="Times New Roman" w:cs="Times New Roman"/>
              </w:rPr>
              <w:t>Danish People’s Party (O)</w:t>
            </w:r>
          </w:p>
        </w:tc>
        <w:tc>
          <w:tcPr>
            <w:tcW w:w="1350" w:type="dxa"/>
            <w:tcBorders>
              <w:top w:val="nil"/>
              <w:left w:val="nil"/>
              <w:bottom w:val="nil"/>
              <w:right w:val="nil"/>
            </w:tcBorders>
          </w:tcPr>
          <w:p w14:paraId="1C55F1BC" w14:textId="20D3494A"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14.0</w:t>
            </w:r>
            <w:r w:rsidR="00E2310E">
              <w:rPr>
                <w:rFonts w:ascii="Times New Roman" w:hAnsi="Times New Roman" w:cs="Times New Roman"/>
              </w:rPr>
              <w:t>%</w:t>
            </w:r>
          </w:p>
        </w:tc>
        <w:tc>
          <w:tcPr>
            <w:tcW w:w="1111" w:type="dxa"/>
            <w:tcBorders>
              <w:top w:val="nil"/>
              <w:left w:val="nil"/>
              <w:bottom w:val="nil"/>
              <w:right w:val="nil"/>
            </w:tcBorders>
          </w:tcPr>
          <w:p w14:paraId="28277877" w14:textId="5DB9CEFE"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10.9</w:t>
            </w:r>
            <w:r w:rsidR="00E2310E">
              <w:rPr>
                <w:rFonts w:ascii="Times New Roman" w:hAnsi="Times New Roman" w:cs="Times New Roman"/>
              </w:rPr>
              <w:t>%</w:t>
            </w:r>
          </w:p>
        </w:tc>
        <w:tc>
          <w:tcPr>
            <w:tcW w:w="1679" w:type="dxa"/>
            <w:tcBorders>
              <w:top w:val="nil"/>
              <w:left w:val="nil"/>
              <w:bottom w:val="nil"/>
              <w:right w:val="nil"/>
            </w:tcBorders>
          </w:tcPr>
          <w:p w14:paraId="0D45256E" w14:textId="3D1D696E"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7.1</w:t>
            </w:r>
            <w:r w:rsidR="00E2310E">
              <w:rPr>
                <w:rFonts w:ascii="Times New Roman" w:hAnsi="Times New Roman" w:cs="Times New Roman"/>
              </w:rPr>
              <w:t>%</w:t>
            </w:r>
          </w:p>
        </w:tc>
        <w:tc>
          <w:tcPr>
            <w:tcW w:w="1350" w:type="dxa"/>
            <w:tcBorders>
              <w:top w:val="nil"/>
              <w:left w:val="nil"/>
              <w:bottom w:val="nil"/>
              <w:right w:val="nil"/>
            </w:tcBorders>
          </w:tcPr>
          <w:p w14:paraId="30B9A948" w14:textId="4A024620"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10.9</w:t>
            </w:r>
            <w:r w:rsidR="00E2310E">
              <w:rPr>
                <w:rFonts w:ascii="Times New Roman" w:hAnsi="Times New Roman" w:cs="Times New Roman"/>
              </w:rPr>
              <w:t>%</w:t>
            </w:r>
          </w:p>
        </w:tc>
      </w:tr>
      <w:tr w:rsidR="004722D5" w14:paraId="62E69B85" w14:textId="77777777" w:rsidTr="00E2310E">
        <w:trPr>
          <w:trHeight w:val="264"/>
          <w:jc w:val="center"/>
        </w:trPr>
        <w:tc>
          <w:tcPr>
            <w:tcW w:w="3330" w:type="dxa"/>
            <w:tcBorders>
              <w:top w:val="nil"/>
              <w:left w:val="nil"/>
              <w:bottom w:val="nil"/>
              <w:right w:val="nil"/>
            </w:tcBorders>
          </w:tcPr>
          <w:p w14:paraId="5B0B03E9" w14:textId="77777777" w:rsidR="004722D5" w:rsidRDefault="004722D5" w:rsidP="00ED2140">
            <w:pPr>
              <w:widowControl w:val="0"/>
              <w:autoSpaceDE w:val="0"/>
              <w:autoSpaceDN w:val="0"/>
              <w:adjustRightInd w:val="0"/>
              <w:rPr>
                <w:rFonts w:ascii="Times New Roman" w:hAnsi="Times New Roman" w:cs="Times New Roman"/>
              </w:rPr>
            </w:pPr>
            <w:r>
              <w:rPr>
                <w:rFonts w:ascii="Times New Roman" w:hAnsi="Times New Roman" w:cs="Times New Roman"/>
              </w:rPr>
              <w:t>Venstre (V)</w:t>
            </w:r>
          </w:p>
        </w:tc>
        <w:tc>
          <w:tcPr>
            <w:tcW w:w="1350" w:type="dxa"/>
            <w:tcBorders>
              <w:top w:val="nil"/>
              <w:left w:val="nil"/>
              <w:bottom w:val="nil"/>
              <w:right w:val="nil"/>
            </w:tcBorders>
          </w:tcPr>
          <w:p w14:paraId="50A1D5B7" w14:textId="75EF85D8"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48.5</w:t>
            </w:r>
            <w:r w:rsidR="00E2310E">
              <w:rPr>
                <w:rFonts w:ascii="Times New Roman" w:hAnsi="Times New Roman" w:cs="Times New Roman"/>
              </w:rPr>
              <w:t>%</w:t>
            </w:r>
          </w:p>
        </w:tc>
        <w:tc>
          <w:tcPr>
            <w:tcW w:w="1111" w:type="dxa"/>
            <w:tcBorders>
              <w:top w:val="nil"/>
              <w:left w:val="nil"/>
              <w:bottom w:val="nil"/>
              <w:right w:val="nil"/>
            </w:tcBorders>
          </w:tcPr>
          <w:p w14:paraId="6B909FAD" w14:textId="00BCB52A"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14.0</w:t>
            </w:r>
            <w:r w:rsidR="00E2310E">
              <w:rPr>
                <w:rFonts w:ascii="Times New Roman" w:hAnsi="Times New Roman" w:cs="Times New Roman"/>
              </w:rPr>
              <w:t>%</w:t>
            </w:r>
          </w:p>
        </w:tc>
        <w:tc>
          <w:tcPr>
            <w:tcW w:w="1679" w:type="dxa"/>
            <w:tcBorders>
              <w:top w:val="nil"/>
              <w:left w:val="nil"/>
              <w:bottom w:val="nil"/>
              <w:right w:val="nil"/>
            </w:tcBorders>
          </w:tcPr>
          <w:p w14:paraId="264A93A7" w14:textId="574935E3"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4.8</w:t>
            </w:r>
            <w:r w:rsidR="00E2310E">
              <w:rPr>
                <w:rFonts w:ascii="Times New Roman" w:hAnsi="Times New Roman" w:cs="Times New Roman"/>
              </w:rPr>
              <w:t>v</w:t>
            </w:r>
          </w:p>
        </w:tc>
        <w:tc>
          <w:tcPr>
            <w:tcW w:w="1350" w:type="dxa"/>
            <w:tcBorders>
              <w:top w:val="nil"/>
              <w:left w:val="nil"/>
              <w:bottom w:val="nil"/>
              <w:right w:val="nil"/>
            </w:tcBorders>
          </w:tcPr>
          <w:p w14:paraId="160F4569" w14:textId="1C440CA3"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23.7</w:t>
            </w:r>
            <w:r w:rsidR="00E2310E">
              <w:rPr>
                <w:rFonts w:ascii="Times New Roman" w:hAnsi="Times New Roman" w:cs="Times New Roman"/>
              </w:rPr>
              <w:t>%</w:t>
            </w:r>
          </w:p>
        </w:tc>
      </w:tr>
      <w:tr w:rsidR="004722D5" w14:paraId="3D90FEF7" w14:textId="77777777" w:rsidTr="00E2310E">
        <w:trPr>
          <w:trHeight w:val="264"/>
          <w:jc w:val="center"/>
        </w:trPr>
        <w:tc>
          <w:tcPr>
            <w:tcW w:w="3330" w:type="dxa"/>
            <w:tcBorders>
              <w:top w:val="nil"/>
              <w:left w:val="nil"/>
              <w:bottom w:val="nil"/>
              <w:right w:val="nil"/>
            </w:tcBorders>
          </w:tcPr>
          <w:p w14:paraId="43E91701" w14:textId="50D4ACEF" w:rsidR="004722D5" w:rsidRDefault="004722D5" w:rsidP="00ED2140">
            <w:pPr>
              <w:widowControl w:val="0"/>
              <w:autoSpaceDE w:val="0"/>
              <w:autoSpaceDN w:val="0"/>
              <w:adjustRightInd w:val="0"/>
              <w:rPr>
                <w:rFonts w:ascii="Times New Roman" w:hAnsi="Times New Roman" w:cs="Times New Roman"/>
              </w:rPr>
            </w:pPr>
            <w:r>
              <w:rPr>
                <w:rFonts w:ascii="Times New Roman" w:hAnsi="Times New Roman" w:cs="Times New Roman"/>
              </w:rPr>
              <w:t>Enhedslisten (</w:t>
            </w:r>
            <w:r w:rsidRPr="004722D5">
              <w:rPr>
                <w:rFonts w:ascii="Times New Roman" w:hAnsi="Times New Roman" w:cs="Times New Roman"/>
              </w:rPr>
              <w:t>Ø</w:t>
            </w:r>
            <w:r>
              <w:rPr>
                <w:rFonts w:ascii="Times New Roman" w:hAnsi="Times New Roman" w:cs="Times New Roman"/>
              </w:rPr>
              <w:t>)</w:t>
            </w:r>
          </w:p>
        </w:tc>
        <w:tc>
          <w:tcPr>
            <w:tcW w:w="1350" w:type="dxa"/>
            <w:tcBorders>
              <w:top w:val="nil"/>
              <w:left w:val="nil"/>
              <w:bottom w:val="nil"/>
              <w:right w:val="nil"/>
            </w:tcBorders>
          </w:tcPr>
          <w:p w14:paraId="60246B76" w14:textId="75B0C230"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0.8</w:t>
            </w:r>
            <w:r w:rsidR="00E2310E">
              <w:rPr>
                <w:rFonts w:ascii="Times New Roman" w:hAnsi="Times New Roman" w:cs="Times New Roman"/>
              </w:rPr>
              <w:t>%</w:t>
            </w:r>
          </w:p>
        </w:tc>
        <w:tc>
          <w:tcPr>
            <w:tcW w:w="1111" w:type="dxa"/>
            <w:tcBorders>
              <w:top w:val="nil"/>
              <w:left w:val="nil"/>
              <w:bottom w:val="nil"/>
              <w:right w:val="nil"/>
            </w:tcBorders>
          </w:tcPr>
          <w:p w14:paraId="703B6F7F" w14:textId="51C6B285"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6.7</w:t>
            </w:r>
            <w:r w:rsidR="00E2310E">
              <w:rPr>
                <w:rFonts w:ascii="Times New Roman" w:hAnsi="Times New Roman" w:cs="Times New Roman"/>
              </w:rPr>
              <w:t>%</w:t>
            </w:r>
          </w:p>
        </w:tc>
        <w:tc>
          <w:tcPr>
            <w:tcW w:w="1679" w:type="dxa"/>
            <w:tcBorders>
              <w:top w:val="nil"/>
              <w:left w:val="nil"/>
              <w:bottom w:val="nil"/>
              <w:right w:val="nil"/>
            </w:tcBorders>
          </w:tcPr>
          <w:p w14:paraId="33314EFA" w14:textId="6C576BC6"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10.1</w:t>
            </w:r>
            <w:r w:rsidR="00E2310E">
              <w:rPr>
                <w:rFonts w:ascii="Times New Roman" w:hAnsi="Times New Roman" w:cs="Times New Roman"/>
              </w:rPr>
              <w:t>%</w:t>
            </w:r>
          </w:p>
        </w:tc>
        <w:tc>
          <w:tcPr>
            <w:tcW w:w="1350" w:type="dxa"/>
            <w:tcBorders>
              <w:top w:val="nil"/>
              <w:left w:val="nil"/>
              <w:bottom w:val="nil"/>
              <w:right w:val="nil"/>
            </w:tcBorders>
          </w:tcPr>
          <w:p w14:paraId="05AF9FC5" w14:textId="1CC8CEEE"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5.6</w:t>
            </w:r>
            <w:r w:rsidR="00E2310E">
              <w:rPr>
                <w:rFonts w:ascii="Times New Roman" w:hAnsi="Times New Roman" w:cs="Times New Roman"/>
              </w:rPr>
              <w:t>%</w:t>
            </w:r>
          </w:p>
        </w:tc>
      </w:tr>
      <w:tr w:rsidR="004722D5" w14:paraId="71A4DB57" w14:textId="77777777" w:rsidTr="00E2310E">
        <w:trPr>
          <w:trHeight w:val="277"/>
          <w:jc w:val="center"/>
        </w:trPr>
        <w:tc>
          <w:tcPr>
            <w:tcW w:w="3330" w:type="dxa"/>
            <w:tcBorders>
              <w:top w:val="nil"/>
              <w:left w:val="nil"/>
              <w:bottom w:val="nil"/>
              <w:right w:val="nil"/>
            </w:tcBorders>
          </w:tcPr>
          <w:p w14:paraId="7E921E9F" w14:textId="3A393DDE" w:rsidR="004722D5" w:rsidRPr="00E2310E" w:rsidRDefault="00E2310E" w:rsidP="00ED2140">
            <w:pPr>
              <w:widowControl w:val="0"/>
              <w:autoSpaceDE w:val="0"/>
              <w:autoSpaceDN w:val="0"/>
              <w:adjustRightInd w:val="0"/>
              <w:rPr>
                <w:rFonts w:ascii="Times New Roman" w:hAnsi="Times New Roman" w:cs="Times New Roman"/>
                <w:lang w:val="en-US"/>
              </w:rPr>
            </w:pPr>
            <w:r w:rsidRPr="00E2310E">
              <w:rPr>
                <w:rFonts w:ascii="Times New Roman" w:hAnsi="Times New Roman" w:cs="Times New Roman"/>
                <w:lang w:val="en-US"/>
              </w:rPr>
              <w:t>Danish Social Liberal Party (B)</w:t>
            </w:r>
          </w:p>
        </w:tc>
        <w:tc>
          <w:tcPr>
            <w:tcW w:w="1350" w:type="dxa"/>
            <w:tcBorders>
              <w:top w:val="nil"/>
              <w:left w:val="nil"/>
              <w:bottom w:val="nil"/>
              <w:right w:val="nil"/>
            </w:tcBorders>
          </w:tcPr>
          <w:p w14:paraId="46ADB23F" w14:textId="351BCA76"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2.9</w:t>
            </w:r>
            <w:r w:rsidR="00E2310E">
              <w:rPr>
                <w:rFonts w:ascii="Times New Roman" w:hAnsi="Times New Roman" w:cs="Times New Roman"/>
              </w:rPr>
              <w:t>%</w:t>
            </w:r>
          </w:p>
        </w:tc>
        <w:tc>
          <w:tcPr>
            <w:tcW w:w="1111" w:type="dxa"/>
            <w:tcBorders>
              <w:top w:val="nil"/>
              <w:left w:val="nil"/>
              <w:bottom w:val="nil"/>
              <w:right w:val="nil"/>
            </w:tcBorders>
          </w:tcPr>
          <w:p w14:paraId="109BF7BA" w14:textId="201B8541"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14.0</w:t>
            </w:r>
            <w:r w:rsidR="00E2310E">
              <w:rPr>
                <w:rFonts w:ascii="Times New Roman" w:hAnsi="Times New Roman" w:cs="Times New Roman"/>
              </w:rPr>
              <w:t>%</w:t>
            </w:r>
          </w:p>
        </w:tc>
        <w:tc>
          <w:tcPr>
            <w:tcW w:w="1679" w:type="dxa"/>
            <w:tcBorders>
              <w:top w:val="nil"/>
              <w:left w:val="nil"/>
              <w:bottom w:val="nil"/>
              <w:right w:val="nil"/>
            </w:tcBorders>
          </w:tcPr>
          <w:p w14:paraId="4A7B5012" w14:textId="2E923AB0"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14.6</w:t>
            </w:r>
            <w:r w:rsidR="00E2310E">
              <w:rPr>
                <w:rFonts w:ascii="Times New Roman" w:hAnsi="Times New Roman" w:cs="Times New Roman"/>
              </w:rPr>
              <w:t>%</w:t>
            </w:r>
          </w:p>
        </w:tc>
        <w:tc>
          <w:tcPr>
            <w:tcW w:w="1350" w:type="dxa"/>
            <w:tcBorders>
              <w:top w:val="nil"/>
              <w:left w:val="nil"/>
              <w:bottom w:val="nil"/>
              <w:right w:val="nil"/>
            </w:tcBorders>
          </w:tcPr>
          <w:p w14:paraId="77BB9089" w14:textId="7744F971"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10.2</w:t>
            </w:r>
            <w:r w:rsidR="00E2310E">
              <w:rPr>
                <w:rFonts w:ascii="Times New Roman" w:hAnsi="Times New Roman" w:cs="Times New Roman"/>
              </w:rPr>
              <w:t>%</w:t>
            </w:r>
          </w:p>
        </w:tc>
      </w:tr>
      <w:tr w:rsidR="004722D5" w14:paraId="7E0A0DE1" w14:textId="77777777" w:rsidTr="00AF7855">
        <w:trPr>
          <w:trHeight w:val="264"/>
          <w:jc w:val="center"/>
        </w:trPr>
        <w:tc>
          <w:tcPr>
            <w:tcW w:w="3330" w:type="dxa"/>
            <w:tcBorders>
              <w:top w:val="nil"/>
              <w:left w:val="nil"/>
              <w:right w:val="nil"/>
            </w:tcBorders>
          </w:tcPr>
          <w:p w14:paraId="5C7F974F" w14:textId="522F3487" w:rsidR="004722D5" w:rsidRDefault="00E2310E" w:rsidP="00ED2140">
            <w:pPr>
              <w:widowControl w:val="0"/>
              <w:autoSpaceDE w:val="0"/>
              <w:autoSpaceDN w:val="0"/>
              <w:adjustRightInd w:val="0"/>
              <w:rPr>
                <w:rFonts w:ascii="Times New Roman" w:hAnsi="Times New Roman" w:cs="Times New Roman"/>
              </w:rPr>
            </w:pPr>
            <w:r w:rsidRPr="00E2310E">
              <w:rPr>
                <w:rFonts w:ascii="Times New Roman" w:hAnsi="Times New Roman" w:cs="Times New Roman"/>
              </w:rPr>
              <w:t>Socialist People's Party (SF)</w:t>
            </w:r>
          </w:p>
        </w:tc>
        <w:tc>
          <w:tcPr>
            <w:tcW w:w="1350" w:type="dxa"/>
            <w:tcBorders>
              <w:top w:val="nil"/>
              <w:left w:val="nil"/>
              <w:right w:val="nil"/>
            </w:tcBorders>
          </w:tcPr>
          <w:p w14:paraId="25DC9189" w14:textId="5522FE89"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4.3</w:t>
            </w:r>
            <w:r w:rsidR="00E2310E">
              <w:rPr>
                <w:rFonts w:ascii="Times New Roman" w:hAnsi="Times New Roman" w:cs="Times New Roman"/>
              </w:rPr>
              <w:t>%</w:t>
            </w:r>
          </w:p>
        </w:tc>
        <w:tc>
          <w:tcPr>
            <w:tcW w:w="1111" w:type="dxa"/>
            <w:tcBorders>
              <w:top w:val="nil"/>
              <w:left w:val="nil"/>
              <w:right w:val="nil"/>
            </w:tcBorders>
          </w:tcPr>
          <w:p w14:paraId="19C7F476" w14:textId="24119DDD"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17.1</w:t>
            </w:r>
            <w:r w:rsidR="00E2310E">
              <w:rPr>
                <w:rFonts w:ascii="Times New Roman" w:hAnsi="Times New Roman" w:cs="Times New Roman"/>
              </w:rPr>
              <w:t>%</w:t>
            </w:r>
          </w:p>
        </w:tc>
        <w:tc>
          <w:tcPr>
            <w:tcW w:w="1679" w:type="dxa"/>
            <w:tcBorders>
              <w:top w:val="nil"/>
              <w:left w:val="nil"/>
              <w:right w:val="nil"/>
            </w:tcBorders>
          </w:tcPr>
          <w:p w14:paraId="26FA157B" w14:textId="1F9965AA"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20.0</w:t>
            </w:r>
            <w:r w:rsidR="00E2310E">
              <w:rPr>
                <w:rFonts w:ascii="Times New Roman" w:hAnsi="Times New Roman" w:cs="Times New Roman"/>
              </w:rPr>
              <w:t>%</w:t>
            </w:r>
          </w:p>
        </w:tc>
        <w:tc>
          <w:tcPr>
            <w:tcW w:w="1350" w:type="dxa"/>
            <w:tcBorders>
              <w:top w:val="nil"/>
              <w:left w:val="nil"/>
              <w:right w:val="nil"/>
            </w:tcBorders>
          </w:tcPr>
          <w:p w14:paraId="6316D584" w14:textId="6A213301"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13.3</w:t>
            </w:r>
            <w:r w:rsidR="00E2310E">
              <w:rPr>
                <w:rFonts w:ascii="Times New Roman" w:hAnsi="Times New Roman" w:cs="Times New Roman"/>
              </w:rPr>
              <w:t>%</w:t>
            </w:r>
          </w:p>
        </w:tc>
      </w:tr>
      <w:tr w:rsidR="004722D5" w14:paraId="6656D772" w14:textId="77777777" w:rsidTr="00AF7855">
        <w:trPr>
          <w:trHeight w:val="277"/>
          <w:jc w:val="center"/>
        </w:trPr>
        <w:tc>
          <w:tcPr>
            <w:tcW w:w="3330" w:type="dxa"/>
            <w:tcBorders>
              <w:top w:val="nil"/>
              <w:left w:val="nil"/>
              <w:bottom w:val="single" w:sz="4" w:space="0" w:color="auto"/>
              <w:right w:val="nil"/>
            </w:tcBorders>
          </w:tcPr>
          <w:p w14:paraId="62C36447" w14:textId="77777777" w:rsidR="004722D5" w:rsidRDefault="004722D5" w:rsidP="00ED2140">
            <w:pPr>
              <w:widowControl w:val="0"/>
              <w:autoSpaceDE w:val="0"/>
              <w:autoSpaceDN w:val="0"/>
              <w:adjustRightInd w:val="0"/>
              <w:rPr>
                <w:rFonts w:ascii="Times New Roman" w:hAnsi="Times New Roman" w:cs="Times New Roman"/>
              </w:rPr>
            </w:pPr>
            <w:r>
              <w:rPr>
                <w:rFonts w:ascii="Times New Roman" w:hAnsi="Times New Roman" w:cs="Times New Roman"/>
              </w:rPr>
              <w:t>Other party</w:t>
            </w:r>
          </w:p>
        </w:tc>
        <w:tc>
          <w:tcPr>
            <w:tcW w:w="1350" w:type="dxa"/>
            <w:tcBorders>
              <w:top w:val="nil"/>
              <w:left w:val="nil"/>
              <w:bottom w:val="single" w:sz="4" w:space="0" w:color="auto"/>
              <w:right w:val="nil"/>
            </w:tcBorders>
          </w:tcPr>
          <w:p w14:paraId="7CEAD53A" w14:textId="0011A539"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15.3</w:t>
            </w:r>
            <w:r w:rsidR="00E2310E">
              <w:rPr>
                <w:rFonts w:ascii="Times New Roman" w:hAnsi="Times New Roman" w:cs="Times New Roman"/>
              </w:rPr>
              <w:t>%</w:t>
            </w:r>
          </w:p>
        </w:tc>
        <w:tc>
          <w:tcPr>
            <w:tcW w:w="1111" w:type="dxa"/>
            <w:tcBorders>
              <w:top w:val="nil"/>
              <w:left w:val="nil"/>
              <w:bottom w:val="single" w:sz="4" w:space="0" w:color="auto"/>
              <w:right w:val="nil"/>
            </w:tcBorders>
          </w:tcPr>
          <w:p w14:paraId="5802FF51" w14:textId="35606322"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15.7</w:t>
            </w:r>
            <w:r w:rsidR="00E2310E">
              <w:rPr>
                <w:rFonts w:ascii="Times New Roman" w:hAnsi="Times New Roman" w:cs="Times New Roman"/>
              </w:rPr>
              <w:t>%</w:t>
            </w:r>
          </w:p>
        </w:tc>
        <w:tc>
          <w:tcPr>
            <w:tcW w:w="1679" w:type="dxa"/>
            <w:tcBorders>
              <w:top w:val="nil"/>
              <w:left w:val="nil"/>
              <w:bottom w:val="single" w:sz="4" w:space="0" w:color="auto"/>
              <w:right w:val="nil"/>
            </w:tcBorders>
          </w:tcPr>
          <w:p w14:paraId="060999FA" w14:textId="3621B55D"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12.9</w:t>
            </w:r>
            <w:r w:rsidR="00E2310E">
              <w:rPr>
                <w:rFonts w:ascii="Times New Roman" w:hAnsi="Times New Roman" w:cs="Times New Roman"/>
              </w:rPr>
              <w:t>%</w:t>
            </w:r>
          </w:p>
        </w:tc>
        <w:tc>
          <w:tcPr>
            <w:tcW w:w="1350" w:type="dxa"/>
            <w:tcBorders>
              <w:top w:val="nil"/>
              <w:left w:val="nil"/>
              <w:bottom w:val="single" w:sz="4" w:space="0" w:color="auto"/>
              <w:right w:val="nil"/>
            </w:tcBorders>
          </w:tcPr>
          <w:p w14:paraId="3964AD3D" w14:textId="0C56B29D"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14.7</w:t>
            </w:r>
            <w:r w:rsidR="00E2310E">
              <w:rPr>
                <w:rFonts w:ascii="Times New Roman" w:hAnsi="Times New Roman" w:cs="Times New Roman"/>
              </w:rPr>
              <w:t>%</w:t>
            </w:r>
          </w:p>
        </w:tc>
      </w:tr>
      <w:tr w:rsidR="004722D5" w14:paraId="4E7D680B" w14:textId="77777777" w:rsidTr="00AF7855">
        <w:trPr>
          <w:trHeight w:val="264"/>
          <w:jc w:val="center"/>
        </w:trPr>
        <w:tc>
          <w:tcPr>
            <w:tcW w:w="3330" w:type="dxa"/>
            <w:tcBorders>
              <w:top w:val="single" w:sz="4" w:space="0" w:color="auto"/>
              <w:left w:val="nil"/>
              <w:bottom w:val="single" w:sz="4" w:space="0" w:color="auto"/>
              <w:right w:val="nil"/>
            </w:tcBorders>
          </w:tcPr>
          <w:p w14:paraId="2C942BE6" w14:textId="77777777" w:rsidR="004722D5" w:rsidRDefault="004722D5" w:rsidP="00ED2140">
            <w:pPr>
              <w:widowControl w:val="0"/>
              <w:autoSpaceDE w:val="0"/>
              <w:autoSpaceDN w:val="0"/>
              <w:adjustRightInd w:val="0"/>
              <w:rPr>
                <w:rFonts w:ascii="Times New Roman" w:hAnsi="Times New Roman" w:cs="Times New Roman"/>
              </w:rPr>
            </w:pPr>
            <w:r>
              <w:rPr>
                <w:rFonts w:ascii="Times New Roman" w:hAnsi="Times New Roman" w:cs="Times New Roman"/>
              </w:rPr>
              <w:t>Total</w:t>
            </w:r>
          </w:p>
        </w:tc>
        <w:tc>
          <w:tcPr>
            <w:tcW w:w="1350" w:type="dxa"/>
            <w:tcBorders>
              <w:top w:val="single" w:sz="4" w:space="0" w:color="auto"/>
              <w:left w:val="nil"/>
              <w:bottom w:val="single" w:sz="4" w:space="0" w:color="auto"/>
              <w:right w:val="nil"/>
            </w:tcBorders>
          </w:tcPr>
          <w:p w14:paraId="4B64D738" w14:textId="3E02A86E"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r w:rsidR="00E2310E">
              <w:rPr>
                <w:rFonts w:ascii="Times New Roman" w:hAnsi="Times New Roman" w:cs="Times New Roman"/>
              </w:rPr>
              <w:t>%</w:t>
            </w:r>
          </w:p>
        </w:tc>
        <w:tc>
          <w:tcPr>
            <w:tcW w:w="1111" w:type="dxa"/>
            <w:tcBorders>
              <w:top w:val="single" w:sz="4" w:space="0" w:color="auto"/>
              <w:left w:val="nil"/>
              <w:bottom w:val="single" w:sz="4" w:space="0" w:color="auto"/>
              <w:right w:val="nil"/>
            </w:tcBorders>
          </w:tcPr>
          <w:p w14:paraId="76A14FD0" w14:textId="23ADA0B5"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r w:rsidR="00E2310E">
              <w:rPr>
                <w:rFonts w:ascii="Times New Roman" w:hAnsi="Times New Roman" w:cs="Times New Roman"/>
              </w:rPr>
              <w:t>%</w:t>
            </w:r>
          </w:p>
        </w:tc>
        <w:tc>
          <w:tcPr>
            <w:tcW w:w="1679" w:type="dxa"/>
            <w:tcBorders>
              <w:top w:val="single" w:sz="4" w:space="0" w:color="auto"/>
              <w:left w:val="nil"/>
              <w:bottom w:val="single" w:sz="4" w:space="0" w:color="auto"/>
              <w:right w:val="nil"/>
            </w:tcBorders>
          </w:tcPr>
          <w:p w14:paraId="257FE1EA" w14:textId="527364A8" w:rsidR="004722D5" w:rsidRDefault="00E2310E"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p>
        </w:tc>
        <w:tc>
          <w:tcPr>
            <w:tcW w:w="1350" w:type="dxa"/>
            <w:tcBorders>
              <w:top w:val="single" w:sz="4" w:space="0" w:color="auto"/>
              <w:left w:val="nil"/>
              <w:bottom w:val="single" w:sz="4" w:space="0" w:color="auto"/>
              <w:right w:val="nil"/>
            </w:tcBorders>
          </w:tcPr>
          <w:p w14:paraId="360A9185" w14:textId="66420B04" w:rsidR="004722D5" w:rsidRDefault="004722D5" w:rsidP="00ED2140">
            <w:pPr>
              <w:widowControl w:val="0"/>
              <w:autoSpaceDE w:val="0"/>
              <w:autoSpaceDN w:val="0"/>
              <w:adjustRightInd w:val="0"/>
              <w:jc w:val="center"/>
              <w:rPr>
                <w:rFonts w:ascii="Times New Roman" w:hAnsi="Times New Roman" w:cs="Times New Roman"/>
              </w:rPr>
            </w:pPr>
            <w:r>
              <w:rPr>
                <w:rFonts w:ascii="Times New Roman" w:hAnsi="Times New Roman" w:cs="Times New Roman"/>
              </w:rPr>
              <w:t>100.0</w:t>
            </w:r>
            <w:r w:rsidR="00E2310E">
              <w:rPr>
                <w:rFonts w:ascii="Times New Roman" w:hAnsi="Times New Roman" w:cs="Times New Roman"/>
              </w:rPr>
              <w:t>%</w:t>
            </w:r>
          </w:p>
        </w:tc>
      </w:tr>
    </w:tbl>
    <w:p w14:paraId="74E63B0F" w14:textId="2109F029" w:rsidR="005679F9" w:rsidRPr="004722D5" w:rsidRDefault="00E2310E" w:rsidP="005679F9">
      <w:pPr>
        <w:spacing w:line="360" w:lineRule="auto"/>
        <w:jc w:val="both"/>
        <w:rPr>
          <w:rFonts w:ascii="Times New Roman" w:hAnsi="Times New Roman" w:cs="Times New Roman"/>
          <w:lang w:val="en-US"/>
        </w:rPr>
      </w:pPr>
      <w:r>
        <w:rPr>
          <w:rFonts w:ascii="Times New Roman" w:hAnsi="Times New Roman" w:cs="Times New Roman"/>
          <w:b/>
          <w:lang w:val="en-US"/>
        </w:rPr>
        <w:br/>
      </w:r>
      <w:r w:rsidR="005679F9" w:rsidRPr="004722D5">
        <w:rPr>
          <w:rFonts w:ascii="Times New Roman" w:hAnsi="Times New Roman" w:cs="Times New Roman"/>
          <w:b/>
          <w:lang w:val="en-US"/>
        </w:rPr>
        <w:t>Source</w:t>
      </w:r>
      <w:r w:rsidR="005679F9" w:rsidRPr="004722D5">
        <w:rPr>
          <w:rFonts w:ascii="Times New Roman" w:hAnsi="Times New Roman" w:cs="Times New Roman"/>
          <w:lang w:val="en-US"/>
        </w:rPr>
        <w:t>:</w:t>
      </w:r>
      <w:r w:rsidR="005679F9" w:rsidRPr="004722D5">
        <w:rPr>
          <w:rFonts w:ascii="Times New Roman" w:hAnsi="Times New Roman" w:cs="Times New Roman"/>
          <w:b/>
          <w:lang w:val="en-US"/>
        </w:rPr>
        <w:t xml:space="preserve"> </w:t>
      </w:r>
      <w:r w:rsidR="005679F9" w:rsidRPr="004722D5">
        <w:rPr>
          <w:rFonts w:ascii="Times New Roman" w:hAnsi="Times New Roman" w:cs="Times New Roman"/>
          <w:lang w:val="en-US"/>
        </w:rPr>
        <w:t>RECONNECT 2019 European election survey data. Fieldwork period: Pre-election wave, April 2-19 2019; Post-election</w:t>
      </w:r>
      <w:r w:rsidR="009D7958" w:rsidRPr="004722D5">
        <w:rPr>
          <w:rFonts w:ascii="Times New Roman" w:hAnsi="Times New Roman" w:cs="Times New Roman"/>
          <w:lang w:val="en-US"/>
        </w:rPr>
        <w:t xml:space="preserve"> wave</w:t>
      </w:r>
      <w:r w:rsidR="005679F9" w:rsidRPr="004722D5">
        <w:rPr>
          <w:rFonts w:ascii="Times New Roman" w:hAnsi="Times New Roman" w:cs="Times New Roman"/>
          <w:lang w:val="en-US"/>
        </w:rPr>
        <w:t>, May 27-June 24 2019.</w:t>
      </w:r>
    </w:p>
    <w:p w14:paraId="7194270B" w14:textId="77777777" w:rsidR="005679F9" w:rsidRPr="004722D5" w:rsidRDefault="005679F9" w:rsidP="00AA4124">
      <w:pPr>
        <w:widowControl w:val="0"/>
        <w:autoSpaceDE w:val="0"/>
        <w:autoSpaceDN w:val="0"/>
        <w:adjustRightInd w:val="0"/>
        <w:rPr>
          <w:rFonts w:ascii="Times New Roman" w:hAnsi="Times New Roman" w:cs="Times New Roman"/>
          <w:lang w:val="en-US"/>
        </w:rPr>
      </w:pPr>
    </w:p>
    <w:p w14:paraId="1E02A2D7" w14:textId="03A100C9" w:rsidR="005419DA" w:rsidRPr="004722D5" w:rsidRDefault="005419DA" w:rsidP="00997974">
      <w:pPr>
        <w:keepNext/>
        <w:keepLines/>
        <w:spacing w:line="360" w:lineRule="auto"/>
        <w:ind w:firstLine="708"/>
        <w:jc w:val="both"/>
        <w:rPr>
          <w:rFonts w:ascii="Times New Roman" w:hAnsi="Times New Roman" w:cs="Times New Roman"/>
          <w:lang w:val="en-US"/>
        </w:rPr>
      </w:pPr>
    </w:p>
    <w:p w14:paraId="241E7A36" w14:textId="571D2EC2" w:rsidR="00351E3E" w:rsidRPr="009424C5" w:rsidRDefault="00351E3E" w:rsidP="002B197F">
      <w:pPr>
        <w:pStyle w:val="Listeafsnit"/>
        <w:numPr>
          <w:ilvl w:val="0"/>
          <w:numId w:val="42"/>
        </w:numPr>
        <w:spacing w:line="276" w:lineRule="auto"/>
        <w:rPr>
          <w:rFonts w:ascii="Times New Roman" w:hAnsi="Times New Roman" w:cs="Times New Roman"/>
          <w:b/>
          <w:lang w:val="en-US"/>
        </w:rPr>
      </w:pPr>
      <w:r w:rsidRPr="009424C5">
        <w:rPr>
          <w:rFonts w:ascii="Times New Roman" w:hAnsi="Times New Roman" w:cs="Times New Roman"/>
          <w:b/>
          <w:lang w:val="en-US"/>
        </w:rPr>
        <w:t>Conclusion: Still second-order?</w:t>
      </w:r>
    </w:p>
    <w:p w14:paraId="15979CC6" w14:textId="77777777" w:rsidR="00351E3E" w:rsidRPr="006B5D17" w:rsidRDefault="00351E3E" w:rsidP="00351E3E">
      <w:pPr>
        <w:spacing w:line="276" w:lineRule="auto"/>
        <w:ind w:left="360"/>
        <w:rPr>
          <w:rFonts w:ascii="Times New Roman" w:hAnsi="Times New Roman" w:cs="Times New Roman"/>
          <w:b/>
          <w:lang w:val="en-US"/>
        </w:rPr>
      </w:pPr>
    </w:p>
    <w:p w14:paraId="5049DF28" w14:textId="3B3A64BF" w:rsidR="00D65227" w:rsidRPr="007D200E" w:rsidRDefault="00AF7855" w:rsidP="00D65227">
      <w:pPr>
        <w:spacing w:line="360" w:lineRule="auto"/>
        <w:jc w:val="both"/>
        <w:rPr>
          <w:rFonts w:ascii="Times New Roman" w:hAnsi="Times New Roman" w:cs="Times New Roman"/>
          <w:u w:val="single"/>
          <w:lang w:val="en-US"/>
        </w:rPr>
      </w:pPr>
      <w:r>
        <w:rPr>
          <w:rFonts w:ascii="Times New Roman" w:hAnsi="Times New Roman" w:cs="Times New Roman"/>
          <w:lang w:val="en-US"/>
        </w:rPr>
        <w:t>Unusually for an EP contest, the 2019 Danish campaign was embedded within</w:t>
      </w:r>
      <w:r w:rsidR="006D58C5" w:rsidRPr="004722D5">
        <w:rPr>
          <w:rFonts w:ascii="Times New Roman" w:hAnsi="Times New Roman" w:cs="Times New Roman"/>
          <w:lang w:val="en-US"/>
        </w:rPr>
        <w:t xml:space="preserve"> a national election campaign, and therefore had to compete with the latter for the limited attention of Danish voters to politics</w:t>
      </w:r>
      <w:r>
        <w:rPr>
          <w:rFonts w:ascii="Times New Roman" w:hAnsi="Times New Roman" w:cs="Times New Roman"/>
          <w:lang w:val="en-US"/>
        </w:rPr>
        <w:t>. T</w:t>
      </w:r>
      <w:r w:rsidR="006B2934">
        <w:rPr>
          <w:rFonts w:ascii="Times New Roman" w:hAnsi="Times New Roman" w:cs="Times New Roman"/>
          <w:lang w:val="en-US"/>
        </w:rPr>
        <w:t xml:space="preserve">he </w:t>
      </w:r>
      <w:r>
        <w:rPr>
          <w:rFonts w:ascii="Times New Roman" w:hAnsi="Times New Roman" w:cs="Times New Roman"/>
          <w:lang w:val="en-US"/>
        </w:rPr>
        <w:t xml:space="preserve">low </w:t>
      </w:r>
      <w:r w:rsidR="006B2934">
        <w:rPr>
          <w:rFonts w:ascii="Times New Roman" w:hAnsi="Times New Roman" w:cs="Times New Roman"/>
          <w:lang w:val="en-US"/>
        </w:rPr>
        <w:t>salience of European issues to voters, similarities of voting patterns with the following national election and the link between national evaluations</w:t>
      </w:r>
      <w:r>
        <w:rPr>
          <w:rFonts w:ascii="Times New Roman" w:hAnsi="Times New Roman" w:cs="Times New Roman"/>
          <w:lang w:val="en-US"/>
        </w:rPr>
        <w:t xml:space="preserve"> of politics and EP vote choice all suggest </w:t>
      </w:r>
      <w:r w:rsidR="006B2934">
        <w:rPr>
          <w:rFonts w:ascii="Times New Roman" w:hAnsi="Times New Roman" w:cs="Times New Roman"/>
          <w:lang w:val="en-US"/>
        </w:rPr>
        <w:t>that</w:t>
      </w:r>
      <w:r w:rsidR="006B2934" w:rsidRPr="006B2934">
        <w:rPr>
          <w:rFonts w:ascii="Times New Roman" w:hAnsi="Times New Roman" w:cs="Times New Roman"/>
          <w:lang w:val="en-US"/>
        </w:rPr>
        <w:t xml:space="preserve"> </w:t>
      </w:r>
      <w:r w:rsidR="006B2934" w:rsidRPr="00746724">
        <w:rPr>
          <w:rFonts w:ascii="Times New Roman" w:hAnsi="Times New Roman" w:cs="Times New Roman"/>
          <w:lang w:val="en-US"/>
        </w:rPr>
        <w:t>despite historically high turnout, the EP election in Denmark still possessed many of the features typical of a second-order contest.</w:t>
      </w:r>
    </w:p>
    <w:p w14:paraId="285DC7DF" w14:textId="5BF71861" w:rsidR="002A785F" w:rsidRDefault="008F7C91" w:rsidP="00D65227">
      <w:pPr>
        <w:spacing w:line="360" w:lineRule="auto"/>
        <w:ind w:firstLine="708"/>
        <w:jc w:val="both"/>
        <w:rPr>
          <w:rFonts w:ascii="Times New Roman" w:hAnsi="Times New Roman" w:cs="Times New Roman"/>
          <w:lang w:val="en-US"/>
        </w:rPr>
      </w:pPr>
      <w:r w:rsidRPr="007D200E">
        <w:rPr>
          <w:rFonts w:ascii="Times New Roman" w:hAnsi="Times New Roman" w:cs="Times New Roman"/>
          <w:lang w:val="en-US"/>
        </w:rPr>
        <w:t xml:space="preserve">However, there are least some indicators that the </w:t>
      </w:r>
      <w:r w:rsidR="007A3349" w:rsidRPr="007D200E">
        <w:rPr>
          <w:rFonts w:ascii="Times New Roman" w:hAnsi="Times New Roman" w:cs="Times New Roman"/>
          <w:lang w:val="en-US"/>
        </w:rPr>
        <w:t xml:space="preserve">EP election in Denmark was </w:t>
      </w:r>
      <w:r w:rsidR="006D58C5" w:rsidRPr="007D200E">
        <w:rPr>
          <w:rFonts w:ascii="Times New Roman" w:hAnsi="Times New Roman" w:cs="Times New Roman"/>
          <w:lang w:val="en-US"/>
        </w:rPr>
        <w:t>at least moderately successful in engaging voters</w:t>
      </w:r>
      <w:r w:rsidR="00AF7855">
        <w:rPr>
          <w:rFonts w:ascii="Times New Roman" w:hAnsi="Times New Roman" w:cs="Times New Roman"/>
          <w:lang w:val="en-US"/>
        </w:rPr>
        <w:t>. Most notably:</w:t>
      </w:r>
      <w:r w:rsidR="007A3349" w:rsidRPr="007D200E">
        <w:rPr>
          <w:rFonts w:ascii="Times New Roman" w:hAnsi="Times New Roman" w:cs="Times New Roman"/>
          <w:lang w:val="en-US"/>
        </w:rPr>
        <w:t xml:space="preserve"> (a) </w:t>
      </w:r>
      <w:r w:rsidR="006D58C5" w:rsidRPr="007D200E">
        <w:rPr>
          <w:rFonts w:ascii="Times New Roman" w:hAnsi="Times New Roman" w:cs="Times New Roman"/>
          <w:lang w:val="en-US"/>
        </w:rPr>
        <w:t>though interest</w:t>
      </w:r>
      <w:r w:rsidR="007A3349" w:rsidRPr="007D200E">
        <w:rPr>
          <w:rFonts w:ascii="Times New Roman" w:hAnsi="Times New Roman" w:cs="Times New Roman"/>
          <w:lang w:val="en-US"/>
        </w:rPr>
        <w:t xml:space="preserve"> was relatively low, most respondents reported at least </w:t>
      </w:r>
      <w:r w:rsidR="00321FA3" w:rsidRPr="007D200E">
        <w:rPr>
          <w:rFonts w:ascii="Times New Roman" w:hAnsi="Times New Roman" w:cs="Times New Roman"/>
          <w:lang w:val="en-US"/>
        </w:rPr>
        <w:t xml:space="preserve">some </w:t>
      </w:r>
      <w:r w:rsidR="006D58C5" w:rsidRPr="007D200E">
        <w:rPr>
          <w:rFonts w:ascii="Times New Roman" w:hAnsi="Times New Roman" w:cs="Times New Roman"/>
          <w:lang w:val="en-US"/>
        </w:rPr>
        <w:t xml:space="preserve">interest in the EP election; (b) non-discussion of Europe </w:t>
      </w:r>
      <w:r w:rsidR="007A3349" w:rsidRPr="007D200E">
        <w:rPr>
          <w:rFonts w:ascii="Times New Roman" w:hAnsi="Times New Roman" w:cs="Times New Roman"/>
          <w:lang w:val="en-US"/>
        </w:rPr>
        <w:t>decreased over the course of the campaign,</w:t>
      </w:r>
      <w:r w:rsidR="006D58C5" w:rsidRPr="007D200E">
        <w:rPr>
          <w:rFonts w:ascii="Times New Roman" w:hAnsi="Times New Roman" w:cs="Times New Roman"/>
          <w:lang w:val="en-US"/>
        </w:rPr>
        <w:t xml:space="preserve"> even if the increase was mostly accounted for by discussion of the election itself and not substantive issues;</w:t>
      </w:r>
      <w:r w:rsidR="007A3349" w:rsidRPr="007D200E">
        <w:rPr>
          <w:rFonts w:ascii="Times New Roman" w:hAnsi="Times New Roman" w:cs="Times New Roman"/>
          <w:lang w:val="en-US"/>
        </w:rPr>
        <w:t xml:space="preserve"> (c) EU party positions </w:t>
      </w:r>
      <w:r w:rsidR="006B2934">
        <w:rPr>
          <w:rFonts w:ascii="Times New Roman" w:hAnsi="Times New Roman" w:cs="Times New Roman"/>
          <w:lang w:val="en-US"/>
        </w:rPr>
        <w:t>were perceived as slightly</w:t>
      </w:r>
      <w:r w:rsidR="007A3349" w:rsidRPr="007D200E">
        <w:rPr>
          <w:rFonts w:ascii="Times New Roman" w:hAnsi="Times New Roman" w:cs="Times New Roman"/>
          <w:lang w:val="en-US"/>
        </w:rPr>
        <w:t xml:space="preserve"> more distinct </w:t>
      </w:r>
      <w:r w:rsidR="006D58C5" w:rsidRPr="007D200E">
        <w:rPr>
          <w:rFonts w:ascii="Times New Roman" w:hAnsi="Times New Roman" w:cs="Times New Roman"/>
          <w:lang w:val="en-US"/>
        </w:rPr>
        <w:t xml:space="preserve">over the course of the campaign </w:t>
      </w:r>
      <w:r w:rsidR="007A3349" w:rsidRPr="007D200E">
        <w:rPr>
          <w:rFonts w:ascii="Times New Roman" w:hAnsi="Times New Roman" w:cs="Times New Roman"/>
          <w:lang w:val="en-US"/>
        </w:rPr>
        <w:t>and</w:t>
      </w:r>
      <w:r w:rsidR="006D58C5" w:rsidRPr="007D200E">
        <w:rPr>
          <w:rFonts w:ascii="Times New Roman" w:hAnsi="Times New Roman" w:cs="Times New Roman"/>
          <w:lang w:val="en-US"/>
        </w:rPr>
        <w:t>;</w:t>
      </w:r>
      <w:r w:rsidR="007A3349" w:rsidRPr="007D200E">
        <w:rPr>
          <w:rFonts w:ascii="Times New Roman" w:hAnsi="Times New Roman" w:cs="Times New Roman"/>
          <w:lang w:val="en-US"/>
        </w:rPr>
        <w:t xml:space="preserve"> (d) </w:t>
      </w:r>
      <w:r w:rsidR="006D58C5" w:rsidRPr="007D200E">
        <w:rPr>
          <w:rFonts w:ascii="Times New Roman" w:hAnsi="Times New Roman" w:cs="Times New Roman"/>
          <w:lang w:val="en-US"/>
        </w:rPr>
        <w:t>though consistency in voting was the norm, there is evidence of different voting patterns in the national and then EP election at the individual level</w:t>
      </w:r>
      <w:r w:rsidR="00AA3B89" w:rsidRPr="007D200E">
        <w:rPr>
          <w:rFonts w:ascii="Times New Roman" w:hAnsi="Times New Roman" w:cs="Times New Roman"/>
          <w:lang w:val="en-US"/>
        </w:rPr>
        <w:t xml:space="preserve">, </w:t>
      </w:r>
      <w:r w:rsidR="006D58C5" w:rsidRPr="007D200E">
        <w:rPr>
          <w:rFonts w:ascii="Times New Roman" w:hAnsi="Times New Roman" w:cs="Times New Roman"/>
          <w:lang w:val="en-US"/>
        </w:rPr>
        <w:t>indicating the EP election was not a mirror image of the proximate national one.</w:t>
      </w:r>
      <w:r w:rsidR="00AA3B89" w:rsidRPr="007D200E">
        <w:rPr>
          <w:rFonts w:ascii="Times New Roman" w:hAnsi="Times New Roman" w:cs="Times New Roman"/>
          <w:lang w:val="en-US"/>
        </w:rPr>
        <w:t xml:space="preserve"> Moreover, </w:t>
      </w:r>
      <w:r w:rsidR="006B2934">
        <w:rPr>
          <w:rFonts w:ascii="Times New Roman" w:hAnsi="Times New Roman" w:cs="Times New Roman"/>
          <w:lang w:val="en-US"/>
        </w:rPr>
        <w:t xml:space="preserve">the </w:t>
      </w:r>
      <w:r w:rsidR="00AA3B89" w:rsidRPr="007D200E">
        <w:rPr>
          <w:rFonts w:ascii="Times New Roman" w:hAnsi="Times New Roman" w:cs="Times New Roman"/>
          <w:lang w:val="en-US"/>
        </w:rPr>
        <w:t>historic</w:t>
      </w:r>
      <w:r w:rsidR="006B2934">
        <w:rPr>
          <w:rFonts w:ascii="Times New Roman" w:hAnsi="Times New Roman" w:cs="Times New Roman"/>
          <w:lang w:val="en-US"/>
        </w:rPr>
        <w:t>ally high</w:t>
      </w:r>
      <w:r w:rsidR="00AA3B89" w:rsidRPr="007D200E">
        <w:rPr>
          <w:rFonts w:ascii="Times New Roman" w:hAnsi="Times New Roman" w:cs="Times New Roman"/>
          <w:lang w:val="en-US"/>
        </w:rPr>
        <w:t xml:space="preserve"> turnout </w:t>
      </w:r>
      <w:r w:rsidR="006B2934">
        <w:rPr>
          <w:rFonts w:ascii="Times New Roman" w:hAnsi="Times New Roman" w:cs="Times New Roman"/>
          <w:lang w:val="en-US"/>
        </w:rPr>
        <w:t>of</w:t>
      </w:r>
      <w:r w:rsidR="00AA3B89" w:rsidRPr="007D200E">
        <w:rPr>
          <w:rFonts w:ascii="Times New Roman" w:hAnsi="Times New Roman" w:cs="Times New Roman"/>
          <w:lang w:val="en-US"/>
        </w:rPr>
        <w:t xml:space="preserve"> 66% in the 2019 EP election together with </w:t>
      </w:r>
      <w:r w:rsidR="006B2934">
        <w:rPr>
          <w:rFonts w:ascii="Times New Roman" w:hAnsi="Times New Roman" w:cs="Times New Roman"/>
          <w:lang w:val="en-US"/>
        </w:rPr>
        <w:t>a record high level of support for EU membership amongst the Danish electorate of 77%</w:t>
      </w:r>
      <w:r w:rsidR="00AA3B89" w:rsidRPr="007D200E">
        <w:rPr>
          <w:rFonts w:ascii="Times New Roman" w:hAnsi="Times New Roman" w:cs="Times New Roman"/>
          <w:lang w:val="en-US"/>
        </w:rPr>
        <w:t xml:space="preserve"> </w:t>
      </w:r>
      <w:r w:rsidR="002A785F">
        <w:rPr>
          <w:rFonts w:ascii="Times New Roman" w:hAnsi="Times New Roman" w:cs="Times New Roman"/>
          <w:lang w:val="en-US"/>
        </w:rPr>
        <w:t>suggest that Danish voters are rather enthusiastic about the EU project and do not reject it as unimportant or dangerous.</w:t>
      </w:r>
    </w:p>
    <w:p w14:paraId="735EE4ED" w14:textId="5167B5E2" w:rsidR="005679F9" w:rsidRDefault="002A785F" w:rsidP="00D65227">
      <w:pPr>
        <w:spacing w:line="360" w:lineRule="auto"/>
        <w:ind w:firstLine="708"/>
        <w:jc w:val="both"/>
        <w:rPr>
          <w:rFonts w:ascii="Times New Roman" w:hAnsi="Times New Roman" w:cs="Times New Roman"/>
          <w:lang w:val="en-US"/>
        </w:rPr>
      </w:pPr>
      <w:r>
        <w:rPr>
          <w:rFonts w:ascii="Times New Roman" w:hAnsi="Times New Roman" w:cs="Times New Roman"/>
          <w:lang w:val="en-US"/>
        </w:rPr>
        <w:t>In sum</w:t>
      </w:r>
      <w:r w:rsidR="007A3349" w:rsidRPr="000007C2">
        <w:rPr>
          <w:rFonts w:ascii="Times New Roman" w:hAnsi="Times New Roman" w:cs="Times New Roman"/>
          <w:lang w:val="en-US"/>
        </w:rPr>
        <w:t xml:space="preserve">, though the evidence does on balance point towards a predominantly second-order contest, </w:t>
      </w:r>
      <w:r w:rsidR="001F35C3">
        <w:rPr>
          <w:rFonts w:ascii="Times New Roman" w:hAnsi="Times New Roman" w:cs="Times New Roman"/>
          <w:lang w:val="en-US"/>
        </w:rPr>
        <w:t>it also indicates that the</w:t>
      </w:r>
      <w:r w:rsidR="000652B8" w:rsidRPr="000007C2">
        <w:rPr>
          <w:rFonts w:ascii="Times New Roman" w:hAnsi="Times New Roman" w:cs="Times New Roman"/>
          <w:lang w:val="en-US"/>
        </w:rPr>
        <w:t xml:space="preserve"> European election campaign was not entirely eclipsed by the national</w:t>
      </w:r>
      <w:r w:rsidR="007D200E">
        <w:rPr>
          <w:rFonts w:ascii="Times New Roman" w:hAnsi="Times New Roman" w:cs="Times New Roman"/>
          <w:lang w:val="en-US"/>
        </w:rPr>
        <w:t xml:space="preserve"> election</w:t>
      </w:r>
      <w:r w:rsidR="000652B8" w:rsidRPr="000007C2">
        <w:rPr>
          <w:rFonts w:ascii="Times New Roman" w:hAnsi="Times New Roman" w:cs="Times New Roman"/>
          <w:lang w:val="en-US"/>
        </w:rPr>
        <w:t xml:space="preserve">. </w:t>
      </w:r>
      <w:r w:rsidR="00306E2C" w:rsidRPr="000007C2">
        <w:rPr>
          <w:rFonts w:ascii="Times New Roman" w:hAnsi="Times New Roman" w:cs="Times New Roman"/>
          <w:lang w:val="en-US"/>
        </w:rPr>
        <w:t>This degree of independence is in itself surprising</w:t>
      </w:r>
      <w:r w:rsidR="005679F9" w:rsidRPr="000007C2">
        <w:rPr>
          <w:rFonts w:ascii="Times New Roman" w:hAnsi="Times New Roman" w:cs="Times New Roman"/>
          <w:lang w:val="en-US"/>
        </w:rPr>
        <w:t xml:space="preserve"> in light of its proximity</w:t>
      </w:r>
      <w:r w:rsidR="001F35C3">
        <w:rPr>
          <w:rFonts w:ascii="Times New Roman" w:hAnsi="Times New Roman" w:cs="Times New Roman"/>
          <w:lang w:val="en-US"/>
        </w:rPr>
        <w:t xml:space="preserve"> of a national election</w:t>
      </w:r>
      <w:r w:rsidR="005679F9" w:rsidRPr="000007C2">
        <w:rPr>
          <w:rFonts w:ascii="Times New Roman" w:hAnsi="Times New Roman" w:cs="Times New Roman"/>
          <w:lang w:val="en-US"/>
        </w:rPr>
        <w:t xml:space="preserve">. Nevertheless, there is little evidence to suggest the 2019 EP election in Denmark substantially broke the second-order mold. </w:t>
      </w:r>
    </w:p>
    <w:p w14:paraId="0D1CF280" w14:textId="272D4A2E" w:rsidR="0085258B" w:rsidRPr="007D200E" w:rsidRDefault="0085258B" w:rsidP="009134A5">
      <w:pPr>
        <w:spacing w:line="360" w:lineRule="auto"/>
        <w:ind w:firstLine="708"/>
        <w:jc w:val="both"/>
        <w:rPr>
          <w:rFonts w:ascii="Times New Roman" w:hAnsi="Times New Roman" w:cs="Times New Roman"/>
          <w:u w:val="single"/>
          <w:lang w:val="en-US"/>
        </w:rPr>
      </w:pPr>
      <w:r>
        <w:rPr>
          <w:rFonts w:ascii="Times New Roman" w:hAnsi="Times New Roman" w:cs="Times New Roman"/>
          <w:lang w:val="en-US"/>
        </w:rPr>
        <w:t xml:space="preserve">In terms of the </w:t>
      </w:r>
      <w:r w:rsidR="007D200E">
        <w:rPr>
          <w:rFonts w:ascii="Times New Roman" w:hAnsi="Times New Roman" w:cs="Times New Roman"/>
          <w:lang w:val="en-US"/>
        </w:rPr>
        <w:t>future European trajectory of Denmark</w:t>
      </w:r>
      <w:r>
        <w:rPr>
          <w:rFonts w:ascii="Times New Roman" w:hAnsi="Times New Roman" w:cs="Times New Roman"/>
          <w:lang w:val="en-US"/>
        </w:rPr>
        <w:t xml:space="preserve">, the 2019 EP election makes it unlikely </w:t>
      </w:r>
      <w:r w:rsidR="007D200E">
        <w:rPr>
          <w:rFonts w:ascii="Times New Roman" w:hAnsi="Times New Roman" w:cs="Times New Roman"/>
          <w:lang w:val="en-US"/>
        </w:rPr>
        <w:t>that there will be any major departure from</w:t>
      </w:r>
      <w:r>
        <w:rPr>
          <w:rFonts w:ascii="Times New Roman" w:hAnsi="Times New Roman" w:cs="Times New Roman"/>
          <w:lang w:val="en-US"/>
        </w:rPr>
        <w:t xml:space="preserve"> the status quo</w:t>
      </w:r>
      <w:r w:rsidR="007D200E">
        <w:rPr>
          <w:rFonts w:ascii="Times New Roman" w:hAnsi="Times New Roman" w:cs="Times New Roman"/>
          <w:lang w:val="en-US"/>
        </w:rPr>
        <w:t xml:space="preserve"> in the</w:t>
      </w:r>
      <w:r>
        <w:rPr>
          <w:rFonts w:ascii="Times New Roman" w:hAnsi="Times New Roman" w:cs="Times New Roman"/>
          <w:lang w:val="en-US"/>
        </w:rPr>
        <w:t xml:space="preserve"> near future. </w:t>
      </w:r>
      <w:r w:rsidR="007D200E">
        <w:rPr>
          <w:rFonts w:ascii="Times New Roman" w:hAnsi="Times New Roman" w:cs="Times New Roman"/>
          <w:lang w:val="en-US"/>
        </w:rPr>
        <w:t>A</w:t>
      </w:r>
      <w:r>
        <w:rPr>
          <w:rFonts w:ascii="Times New Roman" w:hAnsi="Times New Roman" w:cs="Times New Roman"/>
          <w:lang w:val="en-US"/>
        </w:rPr>
        <w:t xml:space="preserve"> ‘</w:t>
      </w:r>
      <w:proofErr w:type="spellStart"/>
      <w:r>
        <w:rPr>
          <w:rFonts w:ascii="Times New Roman" w:hAnsi="Times New Roman" w:cs="Times New Roman"/>
          <w:lang w:val="en-US"/>
        </w:rPr>
        <w:t>Dexit</w:t>
      </w:r>
      <w:proofErr w:type="spellEnd"/>
      <w:r>
        <w:rPr>
          <w:rFonts w:ascii="Times New Roman" w:hAnsi="Times New Roman" w:cs="Times New Roman"/>
          <w:lang w:val="en-US"/>
        </w:rPr>
        <w:t>’</w:t>
      </w:r>
      <w:r w:rsidR="007D200E">
        <w:rPr>
          <w:rFonts w:ascii="Times New Roman" w:hAnsi="Times New Roman" w:cs="Times New Roman"/>
          <w:lang w:val="en-US"/>
        </w:rPr>
        <w:t xml:space="preserve"> is extremely unlikely,</w:t>
      </w:r>
      <w:r>
        <w:rPr>
          <w:rFonts w:ascii="Times New Roman" w:hAnsi="Times New Roman" w:cs="Times New Roman"/>
          <w:lang w:val="en-US"/>
        </w:rPr>
        <w:t xml:space="preserve"> </w:t>
      </w:r>
      <w:r w:rsidR="007D200E">
        <w:rPr>
          <w:rFonts w:ascii="Times New Roman" w:hAnsi="Times New Roman" w:cs="Times New Roman"/>
          <w:lang w:val="en-US"/>
        </w:rPr>
        <w:t>as is the possibility that Denmark will cancel any of its</w:t>
      </w:r>
      <w:r>
        <w:rPr>
          <w:rFonts w:ascii="Times New Roman" w:hAnsi="Times New Roman" w:cs="Times New Roman"/>
          <w:lang w:val="en-US"/>
        </w:rPr>
        <w:t xml:space="preserve"> opt-outs (foreign policy, military, justice and home-affairs, and the Euro). Danish voters seem </w:t>
      </w:r>
      <w:r w:rsidR="007D200E">
        <w:rPr>
          <w:rFonts w:ascii="Times New Roman" w:hAnsi="Times New Roman" w:cs="Times New Roman"/>
          <w:lang w:val="en-US"/>
        </w:rPr>
        <w:t>satisfied with the EU at present</w:t>
      </w:r>
      <w:r>
        <w:rPr>
          <w:rFonts w:ascii="Times New Roman" w:hAnsi="Times New Roman" w:cs="Times New Roman"/>
          <w:lang w:val="en-US"/>
        </w:rPr>
        <w:t xml:space="preserve">, </w:t>
      </w:r>
      <w:r w:rsidR="007D200E">
        <w:rPr>
          <w:rFonts w:ascii="Times New Roman" w:hAnsi="Times New Roman" w:cs="Times New Roman"/>
          <w:lang w:val="en-US"/>
        </w:rPr>
        <w:t>without it representing a major issue</w:t>
      </w:r>
      <w:r>
        <w:rPr>
          <w:rFonts w:ascii="Times New Roman" w:hAnsi="Times New Roman" w:cs="Times New Roman"/>
          <w:lang w:val="en-US"/>
        </w:rPr>
        <w:t xml:space="preserve">. </w:t>
      </w:r>
      <w:r w:rsidR="00C174CC">
        <w:rPr>
          <w:rFonts w:ascii="Times New Roman" w:hAnsi="Times New Roman" w:cs="Times New Roman"/>
          <w:lang w:val="en-US"/>
        </w:rPr>
        <w:t xml:space="preserve">Part of this warm relationship is </w:t>
      </w:r>
      <w:r w:rsidR="007D200E">
        <w:rPr>
          <w:rFonts w:ascii="Times New Roman" w:hAnsi="Times New Roman" w:cs="Times New Roman"/>
          <w:lang w:val="en-US"/>
        </w:rPr>
        <w:t>likely provided for by the</w:t>
      </w:r>
      <w:r w:rsidR="00C174CC">
        <w:rPr>
          <w:rFonts w:ascii="Times New Roman" w:hAnsi="Times New Roman" w:cs="Times New Roman"/>
          <w:lang w:val="en-US"/>
        </w:rPr>
        <w:t xml:space="preserve"> opt-outs that offer Danish voters some comfort</w:t>
      </w:r>
      <w:r w:rsidR="007D200E">
        <w:rPr>
          <w:rFonts w:ascii="Times New Roman" w:hAnsi="Times New Roman" w:cs="Times New Roman"/>
          <w:lang w:val="en-US"/>
        </w:rPr>
        <w:t xml:space="preserve"> that</w:t>
      </w:r>
      <w:r w:rsidR="00C174CC">
        <w:rPr>
          <w:rFonts w:ascii="Times New Roman" w:hAnsi="Times New Roman" w:cs="Times New Roman"/>
          <w:lang w:val="en-US"/>
        </w:rPr>
        <w:t xml:space="preserve"> </w:t>
      </w:r>
      <w:r w:rsidR="001F35C3">
        <w:rPr>
          <w:rFonts w:ascii="Times New Roman" w:hAnsi="Times New Roman" w:cs="Times New Roman"/>
          <w:lang w:val="en-US"/>
        </w:rPr>
        <w:t xml:space="preserve">Denmark’s </w:t>
      </w:r>
      <w:r w:rsidR="00C174CC">
        <w:rPr>
          <w:rFonts w:ascii="Times New Roman" w:hAnsi="Times New Roman" w:cs="Times New Roman"/>
          <w:lang w:val="en-US"/>
        </w:rPr>
        <w:t xml:space="preserve">participation in the EU project has not gone too far. </w:t>
      </w:r>
      <w:r w:rsidR="009134A5">
        <w:rPr>
          <w:rFonts w:ascii="Times New Roman" w:hAnsi="Times New Roman" w:cs="Times New Roman"/>
          <w:lang w:val="en-US"/>
        </w:rPr>
        <w:t xml:space="preserve">The fact that the 2019 EP election campaign was not concerned with the EU reflects this </w:t>
      </w:r>
      <w:r w:rsidR="00CD57D6">
        <w:rPr>
          <w:rFonts w:ascii="Times New Roman" w:hAnsi="Times New Roman" w:cs="Times New Roman"/>
          <w:lang w:val="en-US"/>
        </w:rPr>
        <w:t>satisfaction with the status quo and the fact that the EU as a project is not up for debate in Denmark</w:t>
      </w:r>
      <w:r w:rsidR="009134A5">
        <w:rPr>
          <w:rFonts w:ascii="Times New Roman" w:hAnsi="Times New Roman" w:cs="Times New Roman"/>
          <w:lang w:val="en-US"/>
        </w:rPr>
        <w:t xml:space="preserve">. As such, it would seem unlikely that Denmark will follow the path </w:t>
      </w:r>
      <w:r w:rsidR="00CD57D6">
        <w:rPr>
          <w:rFonts w:ascii="Times New Roman" w:hAnsi="Times New Roman" w:cs="Times New Roman"/>
          <w:lang w:val="en-US"/>
        </w:rPr>
        <w:t>set by the UK of leaving the EU any time soon.</w:t>
      </w:r>
    </w:p>
    <w:p w14:paraId="1F7B6D25" w14:textId="1193F2F1" w:rsidR="0007698B" w:rsidRDefault="0007698B" w:rsidP="005679F9">
      <w:pPr>
        <w:keepNext/>
        <w:keepLines/>
        <w:spacing w:line="360" w:lineRule="auto"/>
        <w:jc w:val="both"/>
        <w:rPr>
          <w:rFonts w:ascii="Times New Roman" w:hAnsi="Times New Roman" w:cs="Times New Roman"/>
          <w:lang w:val="en-US"/>
        </w:rPr>
      </w:pPr>
    </w:p>
    <w:p w14:paraId="73DBBC39" w14:textId="77777777" w:rsidR="0085258B" w:rsidRPr="007D200E" w:rsidRDefault="0085258B" w:rsidP="005679F9">
      <w:pPr>
        <w:keepNext/>
        <w:keepLines/>
        <w:spacing w:line="360" w:lineRule="auto"/>
        <w:jc w:val="both"/>
        <w:rPr>
          <w:lang w:val="en-US"/>
        </w:rPr>
      </w:pPr>
    </w:p>
    <w:p w14:paraId="01B68914" w14:textId="77777777" w:rsidR="007D200E" w:rsidRDefault="007D200E">
      <w:pPr>
        <w:rPr>
          <w:rFonts w:ascii="Times New Roman" w:hAnsi="Times New Roman" w:cs="Times New Roman"/>
          <w:b/>
          <w:lang w:val="en-US"/>
        </w:rPr>
      </w:pPr>
      <w:r>
        <w:rPr>
          <w:rFonts w:ascii="Times New Roman" w:hAnsi="Times New Roman" w:cs="Times New Roman"/>
          <w:b/>
          <w:lang w:val="en-US"/>
        </w:rPr>
        <w:br w:type="page"/>
      </w:r>
    </w:p>
    <w:p w14:paraId="081A20B1" w14:textId="77777777" w:rsidR="00CD57D6" w:rsidRDefault="00DF7036" w:rsidP="00A855A4">
      <w:pPr>
        <w:keepNext/>
        <w:keepLines/>
        <w:spacing w:line="276" w:lineRule="auto"/>
        <w:rPr>
          <w:rFonts w:ascii="Times New Roman" w:hAnsi="Times New Roman" w:cs="Times New Roman"/>
          <w:b/>
          <w:lang w:val="en-US"/>
        </w:rPr>
      </w:pPr>
      <w:r w:rsidRPr="00CD57D6">
        <w:rPr>
          <w:rFonts w:ascii="Times New Roman" w:hAnsi="Times New Roman" w:cs="Times New Roman"/>
          <w:b/>
          <w:sz w:val="28"/>
          <w:lang w:val="en-US"/>
        </w:rPr>
        <w:t>References</w:t>
      </w:r>
    </w:p>
    <w:p w14:paraId="22C241D6" w14:textId="6B005DC4" w:rsidR="00A855A4" w:rsidRPr="000007C2" w:rsidRDefault="00B64B72" w:rsidP="00A855A4">
      <w:pPr>
        <w:keepNext/>
        <w:keepLines/>
        <w:spacing w:line="276" w:lineRule="auto"/>
        <w:rPr>
          <w:rFonts w:ascii="Times New Roman" w:hAnsi="Times New Roman" w:cs="Times New Roman"/>
          <w:lang w:val="en-US"/>
        </w:rPr>
      </w:pPr>
      <w:r>
        <w:rPr>
          <w:rFonts w:ascii="Times New Roman" w:hAnsi="Times New Roman" w:cs="Times New Roman"/>
          <w:b/>
          <w:lang w:val="en-US"/>
        </w:rPr>
        <w:br/>
      </w:r>
    </w:p>
    <w:p w14:paraId="5C4D6445" w14:textId="3880F392" w:rsidR="001A2124" w:rsidRDefault="001A2124" w:rsidP="00CD57D6">
      <w:pPr>
        <w:pStyle w:val="Bibliografi"/>
        <w:spacing w:line="360" w:lineRule="auto"/>
        <w:ind w:left="567" w:hanging="567"/>
        <w:jc w:val="both"/>
        <w:rPr>
          <w:rFonts w:ascii="Times New Roman" w:hAnsi="Times New Roman" w:cs="Times New Roman"/>
          <w:lang w:val="en-US"/>
        </w:rPr>
      </w:pPr>
      <w:proofErr w:type="spellStart"/>
      <w:r w:rsidRPr="001A2124">
        <w:rPr>
          <w:rFonts w:ascii="Times New Roman" w:hAnsi="Times New Roman" w:cs="Times New Roman"/>
          <w:lang w:val="en-US"/>
        </w:rPr>
        <w:t>Armingeon</w:t>
      </w:r>
      <w:proofErr w:type="spellEnd"/>
      <w:r w:rsidR="00CD57D6">
        <w:rPr>
          <w:rFonts w:ascii="Times New Roman" w:hAnsi="Times New Roman" w:cs="Times New Roman"/>
          <w:lang w:val="en-US"/>
        </w:rPr>
        <w:t>, K. and</w:t>
      </w:r>
      <w:r w:rsidRPr="001A2124">
        <w:rPr>
          <w:rFonts w:ascii="Times New Roman" w:hAnsi="Times New Roman" w:cs="Times New Roman"/>
          <w:lang w:val="en-US"/>
        </w:rPr>
        <w:t xml:space="preserve"> </w:t>
      </w:r>
      <w:proofErr w:type="spellStart"/>
      <w:r w:rsidRPr="001A2124">
        <w:rPr>
          <w:rFonts w:ascii="Times New Roman" w:hAnsi="Times New Roman" w:cs="Times New Roman"/>
          <w:lang w:val="en-US"/>
        </w:rPr>
        <w:t>Ceka</w:t>
      </w:r>
      <w:proofErr w:type="spellEnd"/>
      <w:r>
        <w:rPr>
          <w:rFonts w:ascii="Times New Roman" w:hAnsi="Times New Roman" w:cs="Times New Roman"/>
          <w:lang w:val="en-US"/>
        </w:rPr>
        <w:t xml:space="preserve">, B. (2014). </w:t>
      </w:r>
      <w:r w:rsidRPr="001A2124">
        <w:rPr>
          <w:rFonts w:ascii="Times New Roman" w:hAnsi="Times New Roman" w:cs="Times New Roman"/>
          <w:lang w:val="en-US"/>
        </w:rPr>
        <w:t>The loss of trust in the European Union during the great recession since 2007: The role of heuristics from the national political system</w:t>
      </w:r>
      <w:r>
        <w:rPr>
          <w:rFonts w:ascii="Times New Roman" w:hAnsi="Times New Roman" w:cs="Times New Roman"/>
          <w:lang w:val="en-US"/>
        </w:rPr>
        <w:t xml:space="preserve">. </w:t>
      </w:r>
      <w:r w:rsidRPr="00CD57D6">
        <w:rPr>
          <w:rFonts w:ascii="Times New Roman" w:hAnsi="Times New Roman" w:cs="Times New Roman"/>
          <w:i/>
          <w:lang w:val="en-US"/>
        </w:rPr>
        <w:t>European Union Politics</w:t>
      </w:r>
      <w:r>
        <w:rPr>
          <w:rFonts w:ascii="Times New Roman" w:hAnsi="Times New Roman" w:cs="Times New Roman"/>
          <w:lang w:val="en-US"/>
        </w:rPr>
        <w:t xml:space="preserve">, 15(1), </w:t>
      </w:r>
      <w:r w:rsidRPr="001A2124">
        <w:rPr>
          <w:rFonts w:ascii="Times New Roman" w:hAnsi="Times New Roman" w:cs="Times New Roman"/>
          <w:lang w:val="en-US"/>
        </w:rPr>
        <w:t>82–107</w:t>
      </w:r>
      <w:r>
        <w:rPr>
          <w:rFonts w:ascii="Times New Roman" w:hAnsi="Times New Roman" w:cs="Times New Roman"/>
          <w:lang w:val="en-US"/>
        </w:rPr>
        <w:t>.</w:t>
      </w:r>
    </w:p>
    <w:p w14:paraId="460CFCB5" w14:textId="77777777" w:rsidR="00CD57D6" w:rsidRPr="00CD57D6" w:rsidRDefault="00CD57D6" w:rsidP="00CD57D6">
      <w:pPr>
        <w:jc w:val="both"/>
        <w:rPr>
          <w:lang w:val="en-US"/>
        </w:rPr>
      </w:pPr>
    </w:p>
    <w:p w14:paraId="759B6654" w14:textId="109E52C5" w:rsidR="009424C5" w:rsidRDefault="009424C5" w:rsidP="00CD57D6">
      <w:pPr>
        <w:pStyle w:val="Bibliografi"/>
        <w:spacing w:line="360" w:lineRule="auto"/>
        <w:ind w:left="567" w:hanging="567"/>
        <w:jc w:val="both"/>
        <w:rPr>
          <w:rFonts w:ascii="Times New Roman" w:hAnsi="Times New Roman" w:cs="Times New Roman"/>
          <w:lang w:val="en-US"/>
        </w:rPr>
      </w:pPr>
      <w:r w:rsidRPr="00CD57D6">
        <w:rPr>
          <w:rFonts w:ascii="Times New Roman" w:hAnsi="Times New Roman" w:cs="Times New Roman"/>
          <w:lang w:val="en-US"/>
        </w:rPr>
        <w:t>Beach, D</w:t>
      </w:r>
      <w:r w:rsidR="00CD57D6" w:rsidRPr="00CD57D6">
        <w:rPr>
          <w:rFonts w:ascii="Times New Roman" w:hAnsi="Times New Roman" w:cs="Times New Roman"/>
          <w:lang w:val="en-US"/>
        </w:rPr>
        <w:t>.</w:t>
      </w:r>
      <w:r w:rsidRPr="00CD57D6">
        <w:rPr>
          <w:rFonts w:ascii="Times New Roman" w:hAnsi="Times New Roman" w:cs="Times New Roman"/>
          <w:lang w:val="en-US"/>
        </w:rPr>
        <w:t>, Hansen</w:t>
      </w:r>
      <w:r w:rsidR="00CD57D6" w:rsidRPr="00CD57D6">
        <w:rPr>
          <w:rFonts w:ascii="Times New Roman" w:hAnsi="Times New Roman" w:cs="Times New Roman"/>
          <w:lang w:val="en-US"/>
        </w:rPr>
        <w:t>, K.M. and</w:t>
      </w:r>
      <w:r w:rsidRPr="00CD57D6">
        <w:rPr>
          <w:rFonts w:ascii="Times New Roman" w:hAnsi="Times New Roman" w:cs="Times New Roman"/>
          <w:lang w:val="en-US"/>
        </w:rPr>
        <w:t xml:space="preserve"> Larsen</w:t>
      </w:r>
      <w:r w:rsidR="00CD57D6" w:rsidRPr="00CD57D6">
        <w:rPr>
          <w:rFonts w:ascii="Times New Roman" w:hAnsi="Times New Roman" w:cs="Times New Roman"/>
          <w:lang w:val="en-US"/>
        </w:rPr>
        <w:t>, M.</w:t>
      </w:r>
      <w:r w:rsidR="00CD57D6">
        <w:rPr>
          <w:rFonts w:ascii="Times New Roman" w:hAnsi="Times New Roman" w:cs="Times New Roman"/>
          <w:lang w:val="en-US"/>
        </w:rPr>
        <w:t>V.</w:t>
      </w:r>
      <w:r w:rsidRPr="00CD57D6">
        <w:rPr>
          <w:rFonts w:ascii="Times New Roman" w:hAnsi="Times New Roman" w:cs="Times New Roman"/>
          <w:lang w:val="en-US"/>
        </w:rPr>
        <w:t xml:space="preserve"> (2018). </w:t>
      </w:r>
      <w:r w:rsidRPr="000007C2">
        <w:rPr>
          <w:rFonts w:ascii="Times New Roman" w:hAnsi="Times New Roman" w:cs="Times New Roman"/>
          <w:lang w:val="en-US"/>
        </w:rPr>
        <w:t>How Campaigns Enhance European Issues Voting Durin</w:t>
      </w:r>
      <w:r w:rsidR="00CD57D6">
        <w:rPr>
          <w:rFonts w:ascii="Times New Roman" w:hAnsi="Times New Roman" w:cs="Times New Roman"/>
          <w:lang w:val="en-US"/>
        </w:rPr>
        <w:t>g European Parliament Elections.</w:t>
      </w:r>
      <w:r w:rsidRPr="000007C2">
        <w:rPr>
          <w:rFonts w:ascii="Times New Roman" w:hAnsi="Times New Roman" w:cs="Times New Roman"/>
          <w:lang w:val="en-US"/>
        </w:rPr>
        <w:t xml:space="preserve"> </w:t>
      </w:r>
      <w:r w:rsidRPr="000007C2">
        <w:rPr>
          <w:rFonts w:ascii="Times New Roman" w:hAnsi="Times New Roman" w:cs="Times New Roman"/>
          <w:i/>
          <w:iCs/>
          <w:lang w:val="en-US"/>
        </w:rPr>
        <w:t>Political Science Research and Methods</w:t>
      </w:r>
      <w:r w:rsidR="00CD57D6">
        <w:rPr>
          <w:rFonts w:ascii="Times New Roman" w:hAnsi="Times New Roman" w:cs="Times New Roman"/>
          <w:lang w:val="en-US"/>
        </w:rPr>
        <w:t>, 6(4)</w:t>
      </w:r>
      <w:r w:rsidRPr="000007C2">
        <w:rPr>
          <w:rFonts w:ascii="Times New Roman" w:hAnsi="Times New Roman" w:cs="Times New Roman"/>
          <w:lang w:val="en-US"/>
        </w:rPr>
        <w:t>, 791–808.</w:t>
      </w:r>
    </w:p>
    <w:p w14:paraId="24D9FE79" w14:textId="77777777" w:rsidR="00CD57D6" w:rsidRPr="00CD57D6" w:rsidRDefault="00CD57D6" w:rsidP="00CD57D6">
      <w:pPr>
        <w:jc w:val="both"/>
        <w:rPr>
          <w:lang w:val="en-US"/>
        </w:rPr>
      </w:pPr>
    </w:p>
    <w:p w14:paraId="5B84F4E5" w14:textId="49F49FCA" w:rsidR="00061496" w:rsidRDefault="00061496" w:rsidP="00CD57D6">
      <w:pPr>
        <w:spacing w:line="360" w:lineRule="auto"/>
        <w:ind w:left="706" w:hanging="706"/>
        <w:jc w:val="both"/>
        <w:rPr>
          <w:rFonts w:ascii="Times New Roman" w:eastAsia="Times New Roman" w:hAnsi="Times New Roman" w:cs="Times New Roman"/>
          <w:lang w:val="en-US" w:eastAsia="pl-PL"/>
        </w:rPr>
      </w:pPr>
      <w:r w:rsidRPr="00B57D14">
        <w:rPr>
          <w:rFonts w:ascii="Times New Roman" w:eastAsia="Times New Roman" w:hAnsi="Times New Roman" w:cs="Times New Roman"/>
          <w:lang w:val="en-US" w:eastAsia="pl-PL"/>
        </w:rPr>
        <w:t>Franklin</w:t>
      </w:r>
      <w:r w:rsidR="001A2124">
        <w:rPr>
          <w:rFonts w:ascii="Times New Roman" w:eastAsia="Times New Roman" w:hAnsi="Times New Roman" w:cs="Times New Roman"/>
          <w:lang w:val="en-US" w:eastAsia="pl-PL"/>
        </w:rPr>
        <w:t>,</w:t>
      </w:r>
      <w:r w:rsidR="00CD57D6">
        <w:rPr>
          <w:rFonts w:ascii="Times New Roman" w:eastAsia="Times New Roman" w:hAnsi="Times New Roman" w:cs="Times New Roman"/>
          <w:lang w:val="en-US" w:eastAsia="pl-PL"/>
        </w:rPr>
        <w:t xml:space="preserve"> M.</w:t>
      </w:r>
      <w:r w:rsidRPr="00B57D14">
        <w:rPr>
          <w:rFonts w:ascii="Times New Roman" w:eastAsia="Times New Roman" w:hAnsi="Times New Roman" w:cs="Times New Roman"/>
          <w:lang w:val="en-US" w:eastAsia="pl-PL"/>
        </w:rPr>
        <w:t xml:space="preserve">N. (2001). How structural factors cause turnout variations at European Parliament elections. </w:t>
      </w:r>
      <w:r w:rsidRPr="00B57D14">
        <w:rPr>
          <w:rFonts w:ascii="Times New Roman" w:eastAsia="Times New Roman" w:hAnsi="Times New Roman" w:cs="Times New Roman"/>
          <w:i/>
          <w:iCs/>
          <w:lang w:val="en-US" w:eastAsia="pl-PL"/>
        </w:rPr>
        <w:t>European Union Politics</w:t>
      </w:r>
      <w:r w:rsidRPr="00B57D14">
        <w:rPr>
          <w:rFonts w:ascii="Times New Roman" w:eastAsia="Times New Roman" w:hAnsi="Times New Roman" w:cs="Times New Roman"/>
          <w:lang w:val="en-US" w:eastAsia="pl-PL"/>
        </w:rPr>
        <w:t xml:space="preserve">, </w:t>
      </w:r>
      <w:r w:rsidRPr="00B57D14">
        <w:rPr>
          <w:rFonts w:ascii="Times New Roman" w:eastAsia="Times New Roman" w:hAnsi="Times New Roman" w:cs="Times New Roman"/>
          <w:i/>
          <w:iCs/>
          <w:lang w:val="en-US" w:eastAsia="pl-PL"/>
        </w:rPr>
        <w:t>2</w:t>
      </w:r>
      <w:r w:rsidR="00CD57D6">
        <w:rPr>
          <w:rFonts w:ascii="Times New Roman" w:eastAsia="Times New Roman" w:hAnsi="Times New Roman" w:cs="Times New Roman"/>
          <w:lang w:val="en-US" w:eastAsia="pl-PL"/>
        </w:rPr>
        <w:t>(3), 309</w:t>
      </w:r>
      <w:r w:rsidR="00CD57D6" w:rsidRPr="001A2124">
        <w:rPr>
          <w:rFonts w:ascii="Times New Roman" w:hAnsi="Times New Roman" w:cs="Times New Roman"/>
          <w:lang w:val="en-US"/>
        </w:rPr>
        <w:t>–</w:t>
      </w:r>
      <w:r w:rsidRPr="00B57D14">
        <w:rPr>
          <w:rFonts w:ascii="Times New Roman" w:eastAsia="Times New Roman" w:hAnsi="Times New Roman" w:cs="Times New Roman"/>
          <w:lang w:val="en-US" w:eastAsia="pl-PL"/>
        </w:rPr>
        <w:t>328.</w:t>
      </w:r>
    </w:p>
    <w:p w14:paraId="48A2E691" w14:textId="77777777" w:rsidR="00CD57D6" w:rsidRPr="000007C2" w:rsidRDefault="00CD57D6" w:rsidP="00CD57D6">
      <w:pPr>
        <w:spacing w:line="360" w:lineRule="auto"/>
        <w:ind w:left="706" w:hanging="706"/>
        <w:jc w:val="both"/>
        <w:rPr>
          <w:rFonts w:ascii="Times New Roman" w:eastAsia="Times New Roman" w:hAnsi="Times New Roman" w:cs="Times New Roman"/>
          <w:lang w:val="en-US" w:eastAsia="pl-PL"/>
        </w:rPr>
      </w:pPr>
    </w:p>
    <w:p w14:paraId="65B199ED" w14:textId="614D417E" w:rsidR="009424C5" w:rsidRDefault="00CD57D6" w:rsidP="00CD57D6">
      <w:pPr>
        <w:pStyle w:val="Bibliografi"/>
        <w:spacing w:line="360" w:lineRule="auto"/>
        <w:ind w:left="567" w:hanging="567"/>
        <w:jc w:val="both"/>
        <w:rPr>
          <w:rFonts w:ascii="Times New Roman" w:hAnsi="Times New Roman" w:cs="Times New Roman"/>
          <w:lang w:val="en-US"/>
        </w:rPr>
      </w:pPr>
      <w:r>
        <w:rPr>
          <w:rFonts w:ascii="Times New Roman" w:hAnsi="Times New Roman" w:cs="Times New Roman"/>
          <w:lang w:val="en-US"/>
        </w:rPr>
        <w:t xml:space="preserve">Green-Pedersen, C. (2012). </w:t>
      </w:r>
      <w:r w:rsidR="009424C5" w:rsidRPr="000007C2">
        <w:rPr>
          <w:rFonts w:ascii="Times New Roman" w:hAnsi="Times New Roman" w:cs="Times New Roman"/>
          <w:lang w:val="en-US"/>
        </w:rPr>
        <w:t>A Giant fast Asleep? Party Incentives and Politic</w:t>
      </w:r>
      <w:r>
        <w:rPr>
          <w:rFonts w:ascii="Times New Roman" w:hAnsi="Times New Roman" w:cs="Times New Roman"/>
          <w:lang w:val="en-US"/>
        </w:rPr>
        <w:t>ization of European Integration.</w:t>
      </w:r>
      <w:r w:rsidR="009424C5" w:rsidRPr="000007C2">
        <w:rPr>
          <w:rFonts w:ascii="Times New Roman" w:hAnsi="Times New Roman" w:cs="Times New Roman"/>
          <w:lang w:val="en-US"/>
        </w:rPr>
        <w:t xml:space="preserve"> </w:t>
      </w:r>
      <w:r w:rsidR="009424C5" w:rsidRPr="000007C2">
        <w:rPr>
          <w:rFonts w:ascii="Times New Roman" w:hAnsi="Times New Roman" w:cs="Times New Roman"/>
          <w:i/>
          <w:iCs/>
          <w:lang w:val="en-US"/>
        </w:rPr>
        <w:t>Political Studies</w:t>
      </w:r>
      <w:r>
        <w:rPr>
          <w:rFonts w:ascii="Times New Roman" w:hAnsi="Times New Roman" w:cs="Times New Roman"/>
          <w:lang w:val="en-US"/>
        </w:rPr>
        <w:t>, 60(</w:t>
      </w:r>
      <w:r w:rsidR="009424C5" w:rsidRPr="000007C2">
        <w:rPr>
          <w:rFonts w:ascii="Times New Roman" w:hAnsi="Times New Roman" w:cs="Times New Roman"/>
          <w:lang w:val="en-US"/>
        </w:rPr>
        <w:t>1</w:t>
      </w:r>
      <w:r>
        <w:rPr>
          <w:rFonts w:ascii="Times New Roman" w:hAnsi="Times New Roman" w:cs="Times New Roman"/>
          <w:lang w:val="en-US"/>
        </w:rPr>
        <w:t>)</w:t>
      </w:r>
      <w:r w:rsidR="009424C5" w:rsidRPr="000007C2">
        <w:rPr>
          <w:rFonts w:ascii="Times New Roman" w:hAnsi="Times New Roman" w:cs="Times New Roman"/>
          <w:lang w:val="en-US"/>
        </w:rPr>
        <w:t>, 115–130.</w:t>
      </w:r>
    </w:p>
    <w:p w14:paraId="6BD6730F" w14:textId="77777777" w:rsidR="00CD57D6" w:rsidRPr="00CD57D6" w:rsidRDefault="00CD57D6" w:rsidP="00CD57D6">
      <w:pPr>
        <w:jc w:val="both"/>
        <w:rPr>
          <w:lang w:val="en-US"/>
        </w:rPr>
      </w:pPr>
    </w:p>
    <w:p w14:paraId="228580D9" w14:textId="2A23C6FF" w:rsidR="00277E91" w:rsidRDefault="00CD57D6" w:rsidP="00CD57D6">
      <w:pPr>
        <w:spacing w:line="360" w:lineRule="auto"/>
        <w:ind w:left="709" w:hanging="709"/>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Hix</w:t>
      </w:r>
      <w:proofErr w:type="spellEnd"/>
      <w:r>
        <w:rPr>
          <w:rFonts w:ascii="Times New Roman" w:eastAsia="Times New Roman" w:hAnsi="Times New Roman" w:cs="Times New Roman"/>
          <w:lang w:val="en-US"/>
        </w:rPr>
        <w:t>, S. and</w:t>
      </w:r>
      <w:r w:rsidR="00277E91" w:rsidRPr="00183275">
        <w:rPr>
          <w:rFonts w:ascii="Times New Roman" w:eastAsia="Times New Roman" w:hAnsi="Times New Roman" w:cs="Times New Roman"/>
          <w:lang w:val="en-US"/>
        </w:rPr>
        <w:t xml:space="preserve"> Marsh, M. (2007). Punishment or protest? Understanding European parliament elections. </w:t>
      </w:r>
      <w:r w:rsidR="00277E91" w:rsidRPr="00183275">
        <w:rPr>
          <w:rFonts w:ascii="Times New Roman" w:eastAsia="Times New Roman" w:hAnsi="Times New Roman" w:cs="Times New Roman"/>
          <w:i/>
          <w:iCs/>
          <w:lang w:val="en-US"/>
        </w:rPr>
        <w:t>The Journal of Politics</w:t>
      </w:r>
      <w:r w:rsidR="00277E91" w:rsidRPr="00183275">
        <w:rPr>
          <w:rFonts w:ascii="Times New Roman" w:eastAsia="Times New Roman" w:hAnsi="Times New Roman" w:cs="Times New Roman"/>
          <w:lang w:val="en-US"/>
        </w:rPr>
        <w:t xml:space="preserve">, </w:t>
      </w:r>
      <w:r w:rsidR="00277E91" w:rsidRPr="00183275">
        <w:rPr>
          <w:rFonts w:ascii="Times New Roman" w:eastAsia="Times New Roman" w:hAnsi="Times New Roman" w:cs="Times New Roman"/>
          <w:i/>
          <w:iCs/>
          <w:lang w:val="en-US"/>
        </w:rPr>
        <w:t>69</w:t>
      </w:r>
      <w:r w:rsidR="00277E91" w:rsidRPr="00183275">
        <w:rPr>
          <w:rFonts w:ascii="Times New Roman" w:eastAsia="Times New Roman" w:hAnsi="Times New Roman" w:cs="Times New Roman"/>
          <w:lang w:val="en-US"/>
        </w:rPr>
        <w:t>(2), 495-510.</w:t>
      </w:r>
    </w:p>
    <w:p w14:paraId="3995EEAB" w14:textId="77777777" w:rsidR="00CD57D6" w:rsidRPr="000007C2" w:rsidRDefault="00CD57D6" w:rsidP="00CD57D6">
      <w:pPr>
        <w:spacing w:line="360" w:lineRule="auto"/>
        <w:ind w:left="709" w:hanging="709"/>
        <w:jc w:val="both"/>
        <w:rPr>
          <w:rFonts w:ascii="Times New Roman" w:eastAsia="Times New Roman" w:hAnsi="Times New Roman" w:cs="Times New Roman"/>
          <w:lang w:val="en-US"/>
        </w:rPr>
      </w:pPr>
    </w:p>
    <w:p w14:paraId="2046798A" w14:textId="709DAA0F" w:rsidR="00B64B72" w:rsidRDefault="00CD57D6" w:rsidP="00CD57D6">
      <w:pPr>
        <w:spacing w:line="360" w:lineRule="auto"/>
        <w:ind w:left="706" w:hanging="706"/>
        <w:jc w:val="both"/>
        <w:rPr>
          <w:rFonts w:ascii="Times New Roman" w:eastAsia="Times New Roman" w:hAnsi="Times New Roman" w:cs="Times New Roman"/>
          <w:shd w:val="clear" w:color="auto" w:fill="FFFFFF"/>
          <w:lang w:val="en-IE"/>
        </w:rPr>
      </w:pPr>
      <w:r w:rsidRPr="00CD57D6">
        <w:rPr>
          <w:rFonts w:ascii="Times New Roman" w:eastAsia="Times New Roman" w:hAnsi="Times New Roman" w:cs="Times New Roman"/>
          <w:shd w:val="clear" w:color="auto" w:fill="FFFFFF"/>
          <w:lang w:val="de-DE"/>
        </w:rPr>
        <w:t>Reif, K. a</w:t>
      </w:r>
      <w:r>
        <w:rPr>
          <w:rFonts w:ascii="Times New Roman" w:eastAsia="Times New Roman" w:hAnsi="Times New Roman" w:cs="Times New Roman"/>
          <w:shd w:val="clear" w:color="auto" w:fill="FFFFFF"/>
          <w:lang w:val="de-DE"/>
        </w:rPr>
        <w:t>nd</w:t>
      </w:r>
      <w:r w:rsidR="00B64B72" w:rsidRPr="00CD57D6">
        <w:rPr>
          <w:rFonts w:ascii="Times New Roman" w:eastAsia="Times New Roman" w:hAnsi="Times New Roman" w:cs="Times New Roman"/>
          <w:shd w:val="clear" w:color="auto" w:fill="FFFFFF"/>
          <w:lang w:val="de-DE"/>
        </w:rPr>
        <w:t xml:space="preserve"> Schmitt, H. (1980). </w:t>
      </w:r>
      <w:r w:rsidR="00B64B72" w:rsidRPr="00E10E26">
        <w:rPr>
          <w:rFonts w:ascii="Times New Roman" w:eastAsia="Times New Roman" w:hAnsi="Times New Roman" w:cs="Times New Roman"/>
          <w:shd w:val="clear" w:color="auto" w:fill="FFFFFF"/>
          <w:lang w:val="en-IE"/>
        </w:rPr>
        <w:t>Nine second</w:t>
      </w:r>
      <w:r w:rsidR="00B64B72" w:rsidRPr="00E10E26">
        <w:rPr>
          <w:rFonts w:ascii="Cambria Math" w:eastAsia="Times New Roman" w:hAnsi="Cambria Math" w:cs="Cambria Math"/>
          <w:shd w:val="clear" w:color="auto" w:fill="FFFFFF"/>
          <w:lang w:val="en-IE"/>
        </w:rPr>
        <w:t>‐</w:t>
      </w:r>
      <w:r w:rsidR="00B64B72" w:rsidRPr="00E10E26">
        <w:rPr>
          <w:rFonts w:ascii="Times New Roman" w:eastAsia="Times New Roman" w:hAnsi="Times New Roman" w:cs="Times New Roman"/>
          <w:shd w:val="clear" w:color="auto" w:fill="FFFFFF"/>
          <w:lang w:val="en-IE"/>
        </w:rPr>
        <w:t>order national elections–a conceptual framework for the analysis of European Election results. </w:t>
      </w:r>
      <w:r w:rsidR="00B64B72" w:rsidRPr="00E10E26">
        <w:rPr>
          <w:rFonts w:ascii="Times New Roman" w:eastAsia="Times New Roman" w:hAnsi="Times New Roman" w:cs="Times New Roman"/>
          <w:i/>
          <w:iCs/>
          <w:lang w:val="en-IE"/>
        </w:rPr>
        <w:t>European journal of political research</w:t>
      </w:r>
      <w:r w:rsidR="00B64B72" w:rsidRPr="00E10E26">
        <w:rPr>
          <w:rFonts w:ascii="Times New Roman" w:eastAsia="Times New Roman" w:hAnsi="Times New Roman" w:cs="Times New Roman"/>
          <w:shd w:val="clear" w:color="auto" w:fill="FFFFFF"/>
          <w:lang w:val="en-IE"/>
        </w:rPr>
        <w:t>, </w:t>
      </w:r>
      <w:r w:rsidR="00B64B72" w:rsidRPr="00E10E26">
        <w:rPr>
          <w:rFonts w:ascii="Times New Roman" w:eastAsia="Times New Roman" w:hAnsi="Times New Roman" w:cs="Times New Roman"/>
          <w:i/>
          <w:iCs/>
          <w:lang w:val="en-IE"/>
        </w:rPr>
        <w:t>8</w:t>
      </w:r>
      <w:r w:rsidR="00B64B72" w:rsidRPr="00E10E26">
        <w:rPr>
          <w:rFonts w:ascii="Times New Roman" w:eastAsia="Times New Roman" w:hAnsi="Times New Roman" w:cs="Times New Roman"/>
          <w:shd w:val="clear" w:color="auto" w:fill="FFFFFF"/>
          <w:lang w:val="en-IE"/>
        </w:rPr>
        <w:t>(1), 3-44.</w:t>
      </w:r>
    </w:p>
    <w:p w14:paraId="6B91EB78" w14:textId="77777777" w:rsidR="00CD57D6" w:rsidRPr="000007C2" w:rsidRDefault="00CD57D6" w:rsidP="00CD57D6">
      <w:pPr>
        <w:spacing w:line="360" w:lineRule="auto"/>
        <w:ind w:left="706" w:hanging="706"/>
        <w:jc w:val="both"/>
        <w:rPr>
          <w:rFonts w:ascii="Times New Roman" w:eastAsia="Times New Roman" w:hAnsi="Times New Roman" w:cs="Times New Roman"/>
          <w:lang w:val="en-IE"/>
        </w:rPr>
      </w:pPr>
    </w:p>
    <w:p w14:paraId="696B0B36" w14:textId="1A0ED926" w:rsidR="009424C5" w:rsidRPr="000007C2" w:rsidRDefault="009424C5" w:rsidP="00CD57D6">
      <w:pPr>
        <w:pStyle w:val="Bibliografi"/>
        <w:spacing w:line="360" w:lineRule="auto"/>
        <w:ind w:left="567" w:hanging="567"/>
        <w:jc w:val="both"/>
        <w:rPr>
          <w:rFonts w:ascii="Times New Roman" w:hAnsi="Times New Roman" w:cs="Times New Roman"/>
          <w:lang w:val="en-US"/>
        </w:rPr>
      </w:pPr>
      <w:r w:rsidRPr="000007C2">
        <w:rPr>
          <w:rFonts w:ascii="Times New Roman" w:hAnsi="Times New Roman" w:cs="Times New Roman"/>
          <w:lang w:val="en-US"/>
        </w:rPr>
        <w:t xml:space="preserve">Senninger, </w:t>
      </w:r>
      <w:r w:rsidR="00CD57D6">
        <w:rPr>
          <w:rFonts w:ascii="Times New Roman" w:hAnsi="Times New Roman" w:cs="Times New Roman"/>
          <w:lang w:val="en-US"/>
        </w:rPr>
        <w:t>R.</w:t>
      </w:r>
      <w:r w:rsidRPr="000007C2">
        <w:rPr>
          <w:rFonts w:ascii="Times New Roman" w:hAnsi="Times New Roman" w:cs="Times New Roman"/>
          <w:lang w:val="en-US"/>
        </w:rPr>
        <w:t xml:space="preserve"> (2017). Issue expansion and selective scrutiny – how opposition parties used parliamentary questions about the European Union in the na</w:t>
      </w:r>
      <w:r w:rsidR="00CD57D6">
        <w:rPr>
          <w:rFonts w:ascii="Times New Roman" w:hAnsi="Times New Roman" w:cs="Times New Roman"/>
          <w:lang w:val="en-US"/>
        </w:rPr>
        <w:t>tional arena from 1973 to 2013.</w:t>
      </w:r>
      <w:r w:rsidRPr="000007C2">
        <w:rPr>
          <w:rFonts w:ascii="Times New Roman" w:hAnsi="Times New Roman" w:cs="Times New Roman"/>
          <w:lang w:val="en-US"/>
        </w:rPr>
        <w:t xml:space="preserve"> </w:t>
      </w:r>
      <w:r w:rsidRPr="000007C2">
        <w:rPr>
          <w:rFonts w:ascii="Times New Roman" w:hAnsi="Times New Roman" w:cs="Times New Roman"/>
          <w:i/>
          <w:iCs/>
          <w:lang w:val="en-US"/>
        </w:rPr>
        <w:t>European Union Politics</w:t>
      </w:r>
      <w:r w:rsidR="00CD57D6">
        <w:rPr>
          <w:rFonts w:ascii="Times New Roman" w:hAnsi="Times New Roman" w:cs="Times New Roman"/>
          <w:lang w:val="en-US"/>
        </w:rPr>
        <w:t>, 18(2)</w:t>
      </w:r>
      <w:r w:rsidRPr="000007C2">
        <w:rPr>
          <w:rFonts w:ascii="Times New Roman" w:hAnsi="Times New Roman" w:cs="Times New Roman"/>
          <w:lang w:val="en-US"/>
        </w:rPr>
        <w:t>, 283–306.</w:t>
      </w:r>
    </w:p>
    <w:p w14:paraId="0C3AF10C" w14:textId="07A6A804" w:rsidR="00A855A4" w:rsidRPr="000007C2" w:rsidRDefault="00A855A4" w:rsidP="00A855A4">
      <w:pPr>
        <w:keepNext/>
        <w:keepLines/>
        <w:spacing w:line="276" w:lineRule="auto"/>
        <w:rPr>
          <w:rFonts w:ascii="Times New Roman" w:hAnsi="Times New Roman" w:cs="Times New Roman"/>
          <w:lang w:val="en-US"/>
        </w:rPr>
      </w:pPr>
    </w:p>
    <w:sectPr w:rsidR="00A855A4" w:rsidRPr="000007C2" w:rsidSect="00252389">
      <w:footerReference w:type="even"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28C8" w14:textId="77777777" w:rsidR="00CA08D4" w:rsidRDefault="00CA08D4" w:rsidP="008927C3">
      <w:r>
        <w:separator/>
      </w:r>
    </w:p>
  </w:endnote>
  <w:endnote w:type="continuationSeparator" w:id="0">
    <w:p w14:paraId="48DAF392" w14:textId="77777777" w:rsidR="00CA08D4" w:rsidRDefault="00CA08D4" w:rsidP="0089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938061195"/>
      <w:docPartObj>
        <w:docPartGallery w:val="Page Numbers (Bottom of Page)"/>
        <w:docPartUnique/>
      </w:docPartObj>
    </w:sdtPr>
    <w:sdtEndPr>
      <w:rPr>
        <w:rStyle w:val="Sidetal"/>
      </w:rPr>
    </w:sdtEndPr>
    <w:sdtContent>
      <w:p w14:paraId="427483C5" w14:textId="77777777" w:rsidR="00CA08D4" w:rsidRDefault="00CA08D4" w:rsidP="00B2470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AEFEFD1" w14:textId="77777777" w:rsidR="00CA08D4" w:rsidRDefault="00CA08D4" w:rsidP="008927C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388261066"/>
      <w:docPartObj>
        <w:docPartGallery w:val="Page Numbers (Bottom of Page)"/>
        <w:docPartUnique/>
      </w:docPartObj>
    </w:sdtPr>
    <w:sdtEndPr>
      <w:rPr>
        <w:rStyle w:val="Sidetal"/>
      </w:rPr>
    </w:sdtEndPr>
    <w:sdtContent>
      <w:p w14:paraId="0C8B6628" w14:textId="430A954C" w:rsidR="00CA08D4" w:rsidRDefault="00CA08D4" w:rsidP="00B24706">
        <w:pPr>
          <w:pStyle w:val="Sidefod"/>
          <w:framePr w:wrap="none" w:vAnchor="text" w:hAnchor="margin" w:xAlign="right" w:y="1"/>
          <w:rPr>
            <w:rStyle w:val="Sidetal"/>
          </w:rPr>
        </w:pPr>
        <w:r w:rsidRPr="008927C3">
          <w:rPr>
            <w:rStyle w:val="Sidetal"/>
            <w:rFonts w:ascii="Cambria" w:hAnsi="Cambria"/>
            <w:sz w:val="22"/>
            <w:szCs w:val="22"/>
          </w:rPr>
          <w:fldChar w:fldCharType="begin"/>
        </w:r>
        <w:r w:rsidRPr="008927C3">
          <w:rPr>
            <w:rStyle w:val="Sidetal"/>
            <w:rFonts w:ascii="Cambria" w:hAnsi="Cambria"/>
            <w:sz w:val="22"/>
            <w:szCs w:val="22"/>
          </w:rPr>
          <w:instrText xml:space="preserve"> PAGE </w:instrText>
        </w:r>
        <w:r w:rsidRPr="008927C3">
          <w:rPr>
            <w:rStyle w:val="Sidetal"/>
            <w:rFonts w:ascii="Cambria" w:hAnsi="Cambria"/>
            <w:sz w:val="22"/>
            <w:szCs w:val="22"/>
          </w:rPr>
          <w:fldChar w:fldCharType="separate"/>
        </w:r>
        <w:r w:rsidR="00927C55">
          <w:rPr>
            <w:rStyle w:val="Sidetal"/>
            <w:rFonts w:ascii="Cambria" w:hAnsi="Cambria"/>
            <w:noProof/>
            <w:sz w:val="22"/>
            <w:szCs w:val="22"/>
          </w:rPr>
          <w:t>20</w:t>
        </w:r>
        <w:r w:rsidRPr="008927C3">
          <w:rPr>
            <w:rStyle w:val="Sidetal"/>
            <w:rFonts w:ascii="Cambria" w:hAnsi="Cambria"/>
            <w:sz w:val="22"/>
            <w:szCs w:val="22"/>
          </w:rPr>
          <w:fldChar w:fldCharType="end"/>
        </w:r>
      </w:p>
    </w:sdtContent>
  </w:sdt>
  <w:p w14:paraId="5ADAB9C9" w14:textId="77777777" w:rsidR="00CA08D4" w:rsidRDefault="00CA08D4" w:rsidP="008927C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4DAB" w14:textId="77777777" w:rsidR="00CA08D4" w:rsidRDefault="00CA08D4" w:rsidP="008927C3">
      <w:r>
        <w:separator/>
      </w:r>
    </w:p>
  </w:footnote>
  <w:footnote w:type="continuationSeparator" w:id="0">
    <w:p w14:paraId="11F61A14" w14:textId="77777777" w:rsidR="00CA08D4" w:rsidRDefault="00CA08D4" w:rsidP="008927C3">
      <w:r>
        <w:continuationSeparator/>
      </w:r>
    </w:p>
  </w:footnote>
  <w:footnote w:id="1">
    <w:p w14:paraId="2725118A" w14:textId="1B3BE6DD" w:rsidR="00CA08D4" w:rsidRPr="0058294F" w:rsidRDefault="00CA08D4" w:rsidP="006B5D17">
      <w:pPr>
        <w:pStyle w:val="Fodnotetekst"/>
        <w:spacing w:line="360" w:lineRule="auto"/>
        <w:rPr>
          <w:rFonts w:ascii="Times New Roman" w:hAnsi="Times New Roman" w:cs="Times New Roman"/>
          <w:lang w:val="en-US"/>
        </w:rPr>
      </w:pPr>
      <w:r w:rsidRPr="0058294F">
        <w:rPr>
          <w:rStyle w:val="Fodnotehenvisning"/>
          <w:rFonts w:ascii="Times New Roman" w:hAnsi="Times New Roman" w:cs="Times New Roman"/>
        </w:rPr>
        <w:footnoteRef/>
      </w:r>
      <w:r w:rsidRPr="0058294F">
        <w:rPr>
          <w:rFonts w:ascii="Times New Roman" w:hAnsi="Times New Roman" w:cs="Times New Roman"/>
          <w:lang w:val="en-US"/>
        </w:rPr>
        <w:t xml:space="preserve"> The national election was expected because one must take place at least once every four years – and so had to occur before 17 June 2019 – according to the Danish constitution. </w:t>
      </w:r>
    </w:p>
  </w:footnote>
  <w:footnote w:id="2">
    <w:p w14:paraId="22B2E285" w14:textId="23995DD6" w:rsidR="00CA08D4" w:rsidRPr="0058294F" w:rsidRDefault="00CA08D4" w:rsidP="006B5D17">
      <w:pPr>
        <w:pStyle w:val="Fodnotetekst"/>
        <w:spacing w:line="360" w:lineRule="auto"/>
        <w:rPr>
          <w:rFonts w:ascii="Times New Roman" w:hAnsi="Times New Roman" w:cs="Times New Roman"/>
          <w:lang w:val="en-US"/>
        </w:rPr>
      </w:pPr>
      <w:r w:rsidRPr="0058294F">
        <w:rPr>
          <w:rStyle w:val="Fodnotehenvisning"/>
          <w:rFonts w:ascii="Times New Roman" w:hAnsi="Times New Roman" w:cs="Times New Roman"/>
        </w:rPr>
        <w:footnoteRef/>
      </w:r>
      <w:r>
        <w:rPr>
          <w:rFonts w:ascii="Times New Roman" w:hAnsi="Times New Roman" w:cs="Times New Roman"/>
          <w:lang w:val="en-US"/>
        </w:rPr>
        <w:t xml:space="preserve"> The minor ‘</w:t>
      </w:r>
      <w:r w:rsidRPr="0058294F">
        <w:rPr>
          <w:rFonts w:ascii="Times New Roman" w:hAnsi="Times New Roman" w:cs="Times New Roman"/>
          <w:lang w:val="en-US"/>
        </w:rPr>
        <w:t xml:space="preserve">People’s </w:t>
      </w:r>
      <w:r w:rsidRPr="00E91C5F">
        <w:rPr>
          <w:rFonts w:ascii="Times New Roman" w:hAnsi="Times New Roman" w:cs="Times New Roman"/>
          <w:lang w:val="en-US"/>
        </w:rPr>
        <w:t>M</w:t>
      </w:r>
      <w:r w:rsidRPr="0058294F">
        <w:rPr>
          <w:rFonts w:ascii="Times New Roman" w:hAnsi="Times New Roman" w:cs="Times New Roman"/>
          <w:lang w:val="en-US"/>
        </w:rPr>
        <w:t xml:space="preserve">ovement </w:t>
      </w:r>
      <w:proofErr w:type="gramStart"/>
      <w:r w:rsidRPr="0058294F">
        <w:rPr>
          <w:rFonts w:ascii="Times New Roman" w:hAnsi="Times New Roman" w:cs="Times New Roman"/>
          <w:lang w:val="en-US"/>
        </w:rPr>
        <w:t>Against</w:t>
      </w:r>
      <w:proofErr w:type="gramEnd"/>
      <w:r w:rsidRPr="0058294F">
        <w:rPr>
          <w:rFonts w:ascii="Times New Roman" w:hAnsi="Times New Roman" w:cs="Times New Roman"/>
          <w:lang w:val="en-US"/>
        </w:rPr>
        <w:t xml:space="preserve"> the EU’, which only runs at EP elections, did not gain representation in the 2019 EP election. </w:t>
      </w:r>
    </w:p>
  </w:footnote>
  <w:footnote w:id="3">
    <w:p w14:paraId="1AFA46F9" w14:textId="45B11833" w:rsidR="00CA08D4" w:rsidRPr="0058294F" w:rsidRDefault="00CA08D4" w:rsidP="006B5D17">
      <w:pPr>
        <w:pStyle w:val="Fodnotetekst"/>
        <w:spacing w:line="360" w:lineRule="auto"/>
        <w:rPr>
          <w:rFonts w:ascii="Times New Roman" w:hAnsi="Times New Roman" w:cs="Times New Roman"/>
          <w:lang w:val="en-US"/>
        </w:rPr>
      </w:pPr>
      <w:r w:rsidRPr="0058294F">
        <w:rPr>
          <w:rStyle w:val="Fodnotehenvisning"/>
          <w:rFonts w:ascii="Times New Roman" w:hAnsi="Times New Roman" w:cs="Times New Roman"/>
        </w:rPr>
        <w:footnoteRef/>
      </w:r>
      <w:r w:rsidRPr="0058294F">
        <w:rPr>
          <w:rFonts w:ascii="Times New Roman" w:hAnsi="Times New Roman" w:cs="Times New Roman"/>
          <w:lang w:val="en-US"/>
        </w:rPr>
        <w:t xml:space="preserve"> Søren </w:t>
      </w:r>
      <w:proofErr w:type="spellStart"/>
      <w:r w:rsidRPr="0058294F">
        <w:rPr>
          <w:rFonts w:ascii="Times New Roman" w:hAnsi="Times New Roman" w:cs="Times New Roman"/>
          <w:lang w:val="en-US"/>
        </w:rPr>
        <w:t>Gade</w:t>
      </w:r>
      <w:proofErr w:type="spellEnd"/>
      <w:r w:rsidRPr="0058294F">
        <w:rPr>
          <w:rFonts w:ascii="Times New Roman" w:hAnsi="Times New Roman" w:cs="Times New Roman"/>
          <w:lang w:val="en-US"/>
        </w:rPr>
        <w:t xml:space="preserve">, a former Defense Secretary and personal vote champion at the national elections, was running for the Liberals. Morten </w:t>
      </w:r>
      <w:proofErr w:type="spellStart"/>
      <w:r w:rsidRPr="0058294F">
        <w:rPr>
          <w:rFonts w:ascii="Times New Roman" w:hAnsi="Times New Roman" w:cs="Times New Roman"/>
          <w:lang w:val="en-US"/>
        </w:rPr>
        <w:t>Løkkegaard</w:t>
      </w:r>
      <w:proofErr w:type="spellEnd"/>
      <w:r w:rsidRPr="0058294F">
        <w:rPr>
          <w:rFonts w:ascii="Times New Roman" w:hAnsi="Times New Roman" w:cs="Times New Roman"/>
          <w:lang w:val="en-US"/>
        </w:rPr>
        <w:t xml:space="preserve">, a former TV-star also represented the Liberals. Margrethe </w:t>
      </w:r>
      <w:proofErr w:type="spellStart"/>
      <w:r w:rsidRPr="0058294F">
        <w:rPr>
          <w:rFonts w:ascii="Times New Roman" w:hAnsi="Times New Roman" w:cs="Times New Roman"/>
          <w:lang w:val="en-US"/>
        </w:rPr>
        <w:t>Vestager</w:t>
      </w:r>
      <w:proofErr w:type="spellEnd"/>
      <w:r w:rsidRPr="0058294F">
        <w:rPr>
          <w:rFonts w:ascii="Times New Roman" w:hAnsi="Times New Roman" w:cs="Times New Roman"/>
          <w:lang w:val="en-US"/>
        </w:rPr>
        <w:t xml:space="preserve"> from the Social Liberals was not an EP candidate but still highly engaged in the election as a candidate to be Head of the European Commission. </w:t>
      </w:r>
      <w:proofErr w:type="spellStart"/>
      <w:r w:rsidRPr="0058294F">
        <w:rPr>
          <w:rFonts w:ascii="Times New Roman" w:hAnsi="Times New Roman" w:cs="Times New Roman"/>
          <w:lang w:val="en-US"/>
        </w:rPr>
        <w:t>Jeppe</w:t>
      </w:r>
      <w:proofErr w:type="spellEnd"/>
      <w:r w:rsidRPr="0058294F">
        <w:rPr>
          <w:rFonts w:ascii="Times New Roman" w:hAnsi="Times New Roman" w:cs="Times New Roman"/>
          <w:lang w:val="en-US"/>
        </w:rPr>
        <w:t xml:space="preserve"> </w:t>
      </w:r>
      <w:proofErr w:type="spellStart"/>
      <w:r w:rsidRPr="0058294F">
        <w:rPr>
          <w:rFonts w:ascii="Times New Roman" w:hAnsi="Times New Roman" w:cs="Times New Roman"/>
          <w:lang w:val="en-US"/>
        </w:rPr>
        <w:t>Kofoed</w:t>
      </w:r>
      <w:proofErr w:type="spellEnd"/>
      <w:r w:rsidRPr="0058294F">
        <w:rPr>
          <w:rFonts w:ascii="Times New Roman" w:hAnsi="Times New Roman" w:cs="Times New Roman"/>
          <w:lang w:val="en-US"/>
        </w:rPr>
        <w:t>, a long-term member of the Danish parliament for the Social Democrats, was appointed Foreign Secretary as the Social Democrats formed a single party minority government after the 2019 national election. This speaks to his popularity in the electorate.</w:t>
      </w:r>
    </w:p>
  </w:footnote>
  <w:footnote w:id="4">
    <w:p w14:paraId="7EE9E70A" w14:textId="40FE5E54" w:rsidR="00CA08D4" w:rsidRPr="0058294F" w:rsidRDefault="00CA08D4">
      <w:pPr>
        <w:pStyle w:val="Fodnotetekst"/>
        <w:rPr>
          <w:rFonts w:ascii="Times New Roman" w:hAnsi="Times New Roman" w:cs="Times New Roman"/>
          <w:lang w:val="en-US"/>
        </w:rPr>
      </w:pPr>
      <w:r w:rsidRPr="0058294F">
        <w:rPr>
          <w:rStyle w:val="Fodnotehenvisning"/>
          <w:rFonts w:ascii="Times New Roman" w:hAnsi="Times New Roman" w:cs="Times New Roman"/>
        </w:rPr>
        <w:footnoteRef/>
      </w:r>
      <w:r w:rsidRPr="0058294F">
        <w:rPr>
          <w:rFonts w:ascii="Times New Roman" w:hAnsi="Times New Roman" w:cs="Times New Roman"/>
          <w:lang w:val="en-US"/>
        </w:rPr>
        <w:t xml:space="preserve"> All parties except </w:t>
      </w:r>
      <w:proofErr w:type="spellStart"/>
      <w:r w:rsidRPr="0058294F">
        <w:rPr>
          <w:rFonts w:ascii="Times New Roman" w:hAnsi="Times New Roman" w:cs="Times New Roman"/>
          <w:lang w:val="en-US"/>
        </w:rPr>
        <w:t>Venstre</w:t>
      </w:r>
      <w:proofErr w:type="spellEnd"/>
      <w:r w:rsidRPr="0058294F">
        <w:rPr>
          <w:rFonts w:ascii="Times New Roman" w:hAnsi="Times New Roman" w:cs="Times New Roman"/>
          <w:lang w:val="en-US"/>
        </w:rPr>
        <w:t xml:space="preserve"> (V), the Conservatives (C), Liberal Alliance (I) and the associated Danish People’s Party, which provided parliamentary support.</w:t>
      </w:r>
    </w:p>
  </w:footnote>
  <w:footnote w:id="5">
    <w:p w14:paraId="5DD25B0B" w14:textId="10BCD4B9" w:rsidR="00CA08D4" w:rsidRPr="00AF7855" w:rsidRDefault="00CA08D4">
      <w:pPr>
        <w:pStyle w:val="Fodnotetekst"/>
        <w:rPr>
          <w:rFonts w:ascii="Times New Roman" w:hAnsi="Times New Roman" w:cs="Times New Roman"/>
          <w:lang w:val="en-US"/>
        </w:rPr>
      </w:pPr>
      <w:r w:rsidRPr="00AF7855">
        <w:rPr>
          <w:rStyle w:val="Fodnotehenvisning"/>
          <w:rFonts w:ascii="Times New Roman" w:hAnsi="Times New Roman" w:cs="Times New Roman"/>
        </w:rPr>
        <w:footnoteRef/>
      </w:r>
      <w:r w:rsidRPr="00AF7855">
        <w:rPr>
          <w:rFonts w:ascii="Times New Roman" w:hAnsi="Times New Roman" w:cs="Times New Roman"/>
          <w:lang w:val="en-US"/>
        </w:rPr>
        <w:t xml:space="preserve"> The Conservatives and Liberal Alliance also participated, though as more junior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890"/>
    <w:multiLevelType w:val="hybridMultilevel"/>
    <w:tmpl w:val="B3B4A9E0"/>
    <w:lvl w:ilvl="0" w:tplc="04070001">
      <w:start w:val="1"/>
      <w:numFmt w:val="bullet"/>
      <w:lvlText w:val=""/>
      <w:lvlJc w:val="left"/>
      <w:pPr>
        <w:ind w:left="1092" w:hanging="360"/>
      </w:pPr>
      <w:rPr>
        <w:rFonts w:ascii="Symbol" w:hAnsi="Symbol" w:hint="default"/>
      </w:rPr>
    </w:lvl>
    <w:lvl w:ilvl="1" w:tplc="04070001">
      <w:start w:val="1"/>
      <w:numFmt w:val="bullet"/>
      <w:lvlText w:val=""/>
      <w:lvlJc w:val="left"/>
      <w:pPr>
        <w:ind w:left="1812" w:hanging="360"/>
      </w:pPr>
      <w:rPr>
        <w:rFonts w:ascii="Symbol" w:hAnsi="Symbol"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abstractNum w:abstractNumId="1" w15:restartNumberingAfterBreak="0">
    <w:nsid w:val="039777F7"/>
    <w:multiLevelType w:val="hybridMultilevel"/>
    <w:tmpl w:val="9D3A6134"/>
    <w:lvl w:ilvl="0" w:tplc="AC9C7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0DAE"/>
    <w:multiLevelType w:val="hybridMultilevel"/>
    <w:tmpl w:val="1FD82764"/>
    <w:lvl w:ilvl="0" w:tplc="04070001">
      <w:start w:val="1"/>
      <w:numFmt w:val="bullet"/>
      <w:lvlText w:val=""/>
      <w:lvlJc w:val="left"/>
      <w:pPr>
        <w:ind w:left="1440" w:hanging="360"/>
      </w:pPr>
      <w:rPr>
        <w:rFonts w:ascii="Symbol" w:hAnsi="Symbol" w:hint="default"/>
      </w:rPr>
    </w:lvl>
    <w:lvl w:ilvl="1" w:tplc="5A5E5E8E">
      <w:start w:val="53"/>
      <w:numFmt w:val="bullet"/>
      <w:lvlText w:val="-"/>
      <w:lvlJc w:val="left"/>
      <w:pPr>
        <w:ind w:left="732" w:hanging="360"/>
      </w:pPr>
      <w:rPr>
        <w:rFonts w:ascii="Calibri" w:eastAsiaTheme="minorHAnsi" w:hAnsi="Calibri" w:cs="Calibri" w:hint="default"/>
      </w:rPr>
    </w:lvl>
    <w:lvl w:ilvl="2" w:tplc="5A5E5E8E">
      <w:start w:val="53"/>
      <w:numFmt w:val="bullet"/>
      <w:lvlText w:val="-"/>
      <w:lvlJc w:val="left"/>
      <w:pPr>
        <w:ind w:left="732" w:hanging="360"/>
      </w:pPr>
      <w:rPr>
        <w:rFonts w:ascii="Calibri" w:eastAsiaTheme="minorHAnsi" w:hAnsi="Calibri" w:cs="Calibri" w:hint="default"/>
      </w:rPr>
    </w:lvl>
    <w:lvl w:ilvl="3" w:tplc="0407000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3" w15:restartNumberingAfterBreak="0">
    <w:nsid w:val="08607D5F"/>
    <w:multiLevelType w:val="hybridMultilevel"/>
    <w:tmpl w:val="F0EC575E"/>
    <w:lvl w:ilvl="0" w:tplc="CFDCE390">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765DD"/>
    <w:multiLevelType w:val="hybridMultilevel"/>
    <w:tmpl w:val="BCA0CBD4"/>
    <w:lvl w:ilvl="0" w:tplc="448AF842">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67B7C"/>
    <w:multiLevelType w:val="multilevel"/>
    <w:tmpl w:val="3BFEF49A"/>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D7856CE"/>
    <w:multiLevelType w:val="hybridMultilevel"/>
    <w:tmpl w:val="9D3A6134"/>
    <w:lvl w:ilvl="0" w:tplc="AC9C7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063BB"/>
    <w:multiLevelType w:val="hybridMultilevel"/>
    <w:tmpl w:val="92D45274"/>
    <w:lvl w:ilvl="0" w:tplc="04070005">
      <w:start w:val="1"/>
      <w:numFmt w:val="bullet"/>
      <w:lvlText w:val=""/>
      <w:lvlJc w:val="left"/>
      <w:pPr>
        <w:ind w:left="3192" w:hanging="360"/>
      </w:pPr>
      <w:rPr>
        <w:rFonts w:ascii="Wingdings" w:hAnsi="Wingdings" w:hint="default"/>
      </w:rPr>
    </w:lvl>
    <w:lvl w:ilvl="1" w:tplc="5A5E5E8E">
      <w:start w:val="53"/>
      <w:numFmt w:val="bullet"/>
      <w:lvlText w:val="-"/>
      <w:lvlJc w:val="left"/>
      <w:pPr>
        <w:ind w:left="2460" w:hanging="360"/>
      </w:pPr>
      <w:rPr>
        <w:rFonts w:ascii="Calibri" w:eastAsiaTheme="minorHAnsi" w:hAnsi="Calibri" w:cs="Calibri" w:hint="default"/>
      </w:rPr>
    </w:lvl>
    <w:lvl w:ilvl="2" w:tplc="5A5E5E8E">
      <w:start w:val="53"/>
      <w:numFmt w:val="bullet"/>
      <w:lvlText w:val="-"/>
      <w:lvlJc w:val="left"/>
      <w:pPr>
        <w:ind w:left="2460" w:hanging="360"/>
      </w:pPr>
      <w:rPr>
        <w:rFonts w:ascii="Calibri" w:eastAsiaTheme="minorHAnsi" w:hAnsi="Calibri" w:cs="Calibri" w:hint="default"/>
      </w:rPr>
    </w:lvl>
    <w:lvl w:ilvl="3" w:tplc="04070001">
      <w:start w:val="1"/>
      <w:numFmt w:val="bullet"/>
      <w:lvlText w:val=""/>
      <w:lvlJc w:val="left"/>
      <w:pPr>
        <w:ind w:left="4620" w:hanging="360"/>
      </w:pPr>
      <w:rPr>
        <w:rFonts w:ascii="Symbol" w:hAnsi="Symbol" w:hint="default"/>
      </w:rPr>
    </w:lvl>
    <w:lvl w:ilvl="4" w:tplc="04070003">
      <w:start w:val="1"/>
      <w:numFmt w:val="bullet"/>
      <w:lvlText w:val="o"/>
      <w:lvlJc w:val="left"/>
      <w:pPr>
        <w:ind w:left="5340" w:hanging="360"/>
      </w:pPr>
      <w:rPr>
        <w:rFonts w:ascii="Courier New" w:hAnsi="Courier New" w:cs="Courier New" w:hint="default"/>
      </w:rPr>
    </w:lvl>
    <w:lvl w:ilvl="5" w:tplc="04070005">
      <w:start w:val="1"/>
      <w:numFmt w:val="bullet"/>
      <w:lvlText w:val=""/>
      <w:lvlJc w:val="left"/>
      <w:pPr>
        <w:ind w:left="6060" w:hanging="360"/>
      </w:pPr>
      <w:rPr>
        <w:rFonts w:ascii="Wingdings" w:hAnsi="Wingdings" w:hint="default"/>
      </w:rPr>
    </w:lvl>
    <w:lvl w:ilvl="6" w:tplc="04070001">
      <w:start w:val="1"/>
      <w:numFmt w:val="bullet"/>
      <w:lvlText w:val=""/>
      <w:lvlJc w:val="left"/>
      <w:pPr>
        <w:ind w:left="6780" w:hanging="360"/>
      </w:pPr>
      <w:rPr>
        <w:rFonts w:ascii="Symbol" w:hAnsi="Symbol" w:hint="default"/>
      </w:rPr>
    </w:lvl>
    <w:lvl w:ilvl="7" w:tplc="04070003">
      <w:start w:val="1"/>
      <w:numFmt w:val="bullet"/>
      <w:lvlText w:val="o"/>
      <w:lvlJc w:val="left"/>
      <w:pPr>
        <w:ind w:left="7500" w:hanging="360"/>
      </w:pPr>
      <w:rPr>
        <w:rFonts w:ascii="Courier New" w:hAnsi="Courier New" w:cs="Courier New" w:hint="default"/>
      </w:rPr>
    </w:lvl>
    <w:lvl w:ilvl="8" w:tplc="04070005">
      <w:start w:val="1"/>
      <w:numFmt w:val="bullet"/>
      <w:lvlText w:val=""/>
      <w:lvlJc w:val="left"/>
      <w:pPr>
        <w:ind w:left="8220" w:hanging="360"/>
      </w:pPr>
      <w:rPr>
        <w:rFonts w:ascii="Wingdings" w:hAnsi="Wingdings" w:hint="default"/>
      </w:rPr>
    </w:lvl>
  </w:abstractNum>
  <w:abstractNum w:abstractNumId="8" w15:restartNumberingAfterBreak="0">
    <w:nsid w:val="14150F7B"/>
    <w:multiLevelType w:val="hybridMultilevel"/>
    <w:tmpl w:val="2294D5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157C74"/>
    <w:multiLevelType w:val="hybridMultilevel"/>
    <w:tmpl w:val="D480C434"/>
    <w:lvl w:ilvl="0" w:tplc="424E3B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59306F"/>
    <w:multiLevelType w:val="hybridMultilevel"/>
    <w:tmpl w:val="D242DD82"/>
    <w:lvl w:ilvl="0" w:tplc="76D6680A">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1C0B77F5"/>
    <w:multiLevelType w:val="hybridMultilevel"/>
    <w:tmpl w:val="6524A8C6"/>
    <w:lvl w:ilvl="0" w:tplc="5A5E5E8E">
      <w:start w:val="53"/>
      <w:numFmt w:val="bullet"/>
      <w:lvlText w:val="-"/>
      <w:lvlJc w:val="left"/>
      <w:pPr>
        <w:ind w:left="1068" w:hanging="360"/>
      </w:pPr>
      <w:rPr>
        <w:rFonts w:ascii="Calibri" w:eastAsiaTheme="minorHAnsi" w:hAnsi="Calibri" w:cs="Calibri" w:hint="default"/>
      </w:rPr>
    </w:lvl>
    <w:lvl w:ilvl="1" w:tplc="04070005">
      <w:start w:val="1"/>
      <w:numFmt w:val="bullet"/>
      <w:lvlText w:val=""/>
      <w:lvlJc w:val="left"/>
      <w:pPr>
        <w:ind w:left="1776"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CBC5919"/>
    <w:multiLevelType w:val="hybridMultilevel"/>
    <w:tmpl w:val="CAD6F2FE"/>
    <w:lvl w:ilvl="0" w:tplc="04070005">
      <w:start w:val="1"/>
      <w:numFmt w:val="bullet"/>
      <w:lvlText w:val=""/>
      <w:lvlJc w:val="left"/>
      <w:pPr>
        <w:ind w:left="2172" w:hanging="360"/>
      </w:pPr>
      <w:rPr>
        <w:rFonts w:ascii="Wingdings" w:hAnsi="Wingdings" w:hint="default"/>
      </w:rPr>
    </w:lvl>
    <w:lvl w:ilvl="1" w:tplc="5A5E5E8E">
      <w:start w:val="53"/>
      <w:numFmt w:val="bullet"/>
      <w:lvlText w:val="-"/>
      <w:lvlJc w:val="left"/>
      <w:pPr>
        <w:ind w:left="1440" w:hanging="360"/>
      </w:pPr>
      <w:rPr>
        <w:rFonts w:ascii="Calibri" w:eastAsiaTheme="minorHAnsi" w:hAnsi="Calibri" w:cs="Calibri" w:hint="default"/>
      </w:rPr>
    </w:lvl>
    <w:lvl w:ilvl="2" w:tplc="5A5E5E8E">
      <w:start w:val="53"/>
      <w:numFmt w:val="bullet"/>
      <w:lvlText w:val="-"/>
      <w:lvlJc w:val="left"/>
      <w:pPr>
        <w:ind w:left="1440" w:hanging="360"/>
      </w:pPr>
      <w:rPr>
        <w:rFonts w:ascii="Calibri" w:eastAsiaTheme="minorHAnsi" w:hAnsi="Calibri" w:cs="Calibri"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F6438F1"/>
    <w:multiLevelType w:val="hybridMultilevel"/>
    <w:tmpl w:val="A45CF90C"/>
    <w:lvl w:ilvl="0" w:tplc="D486B60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194EFA"/>
    <w:multiLevelType w:val="hybridMultilevel"/>
    <w:tmpl w:val="966ADF36"/>
    <w:lvl w:ilvl="0" w:tplc="CBD41FAE">
      <w:start w:val="5"/>
      <w:numFmt w:val="bullet"/>
      <w:lvlText w:val=""/>
      <w:lvlJc w:val="left"/>
      <w:pPr>
        <w:ind w:left="2124" w:hanging="360"/>
      </w:pPr>
      <w:rPr>
        <w:rFonts w:ascii="Wingdings" w:eastAsiaTheme="minorHAnsi" w:hAnsi="Wingdings" w:cs="Times New Roman" w:hint="default"/>
      </w:rPr>
    </w:lvl>
    <w:lvl w:ilvl="1" w:tplc="04070003" w:tentative="1">
      <w:start w:val="1"/>
      <w:numFmt w:val="bullet"/>
      <w:lvlText w:val="o"/>
      <w:lvlJc w:val="left"/>
      <w:pPr>
        <w:ind w:left="2844" w:hanging="360"/>
      </w:pPr>
      <w:rPr>
        <w:rFonts w:ascii="Courier New" w:hAnsi="Courier New" w:cs="Courier New" w:hint="default"/>
      </w:rPr>
    </w:lvl>
    <w:lvl w:ilvl="2" w:tplc="04070005" w:tentative="1">
      <w:start w:val="1"/>
      <w:numFmt w:val="bullet"/>
      <w:lvlText w:val=""/>
      <w:lvlJc w:val="left"/>
      <w:pPr>
        <w:ind w:left="3564" w:hanging="360"/>
      </w:pPr>
      <w:rPr>
        <w:rFonts w:ascii="Wingdings" w:hAnsi="Wingdings" w:hint="default"/>
      </w:rPr>
    </w:lvl>
    <w:lvl w:ilvl="3" w:tplc="04070001" w:tentative="1">
      <w:start w:val="1"/>
      <w:numFmt w:val="bullet"/>
      <w:lvlText w:val=""/>
      <w:lvlJc w:val="left"/>
      <w:pPr>
        <w:ind w:left="4284" w:hanging="360"/>
      </w:pPr>
      <w:rPr>
        <w:rFonts w:ascii="Symbol" w:hAnsi="Symbol" w:hint="default"/>
      </w:rPr>
    </w:lvl>
    <w:lvl w:ilvl="4" w:tplc="04070003" w:tentative="1">
      <w:start w:val="1"/>
      <w:numFmt w:val="bullet"/>
      <w:lvlText w:val="o"/>
      <w:lvlJc w:val="left"/>
      <w:pPr>
        <w:ind w:left="5004" w:hanging="360"/>
      </w:pPr>
      <w:rPr>
        <w:rFonts w:ascii="Courier New" w:hAnsi="Courier New" w:cs="Courier New" w:hint="default"/>
      </w:rPr>
    </w:lvl>
    <w:lvl w:ilvl="5" w:tplc="04070005" w:tentative="1">
      <w:start w:val="1"/>
      <w:numFmt w:val="bullet"/>
      <w:lvlText w:val=""/>
      <w:lvlJc w:val="left"/>
      <w:pPr>
        <w:ind w:left="5724" w:hanging="360"/>
      </w:pPr>
      <w:rPr>
        <w:rFonts w:ascii="Wingdings" w:hAnsi="Wingdings" w:hint="default"/>
      </w:rPr>
    </w:lvl>
    <w:lvl w:ilvl="6" w:tplc="04070001" w:tentative="1">
      <w:start w:val="1"/>
      <w:numFmt w:val="bullet"/>
      <w:lvlText w:val=""/>
      <w:lvlJc w:val="left"/>
      <w:pPr>
        <w:ind w:left="6444" w:hanging="360"/>
      </w:pPr>
      <w:rPr>
        <w:rFonts w:ascii="Symbol" w:hAnsi="Symbol" w:hint="default"/>
      </w:rPr>
    </w:lvl>
    <w:lvl w:ilvl="7" w:tplc="04070003" w:tentative="1">
      <w:start w:val="1"/>
      <w:numFmt w:val="bullet"/>
      <w:lvlText w:val="o"/>
      <w:lvlJc w:val="left"/>
      <w:pPr>
        <w:ind w:left="7164" w:hanging="360"/>
      </w:pPr>
      <w:rPr>
        <w:rFonts w:ascii="Courier New" w:hAnsi="Courier New" w:cs="Courier New" w:hint="default"/>
      </w:rPr>
    </w:lvl>
    <w:lvl w:ilvl="8" w:tplc="04070005" w:tentative="1">
      <w:start w:val="1"/>
      <w:numFmt w:val="bullet"/>
      <w:lvlText w:val=""/>
      <w:lvlJc w:val="left"/>
      <w:pPr>
        <w:ind w:left="7884" w:hanging="360"/>
      </w:pPr>
      <w:rPr>
        <w:rFonts w:ascii="Wingdings" w:hAnsi="Wingdings" w:hint="default"/>
      </w:rPr>
    </w:lvl>
  </w:abstractNum>
  <w:abstractNum w:abstractNumId="15" w15:restartNumberingAfterBreak="0">
    <w:nsid w:val="3A7A0B65"/>
    <w:multiLevelType w:val="hybridMultilevel"/>
    <w:tmpl w:val="D242DD82"/>
    <w:lvl w:ilvl="0" w:tplc="76D6680A">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BE922B1"/>
    <w:multiLevelType w:val="multilevel"/>
    <w:tmpl w:val="392813F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DF176CD"/>
    <w:multiLevelType w:val="hybridMultilevel"/>
    <w:tmpl w:val="B2DC5210"/>
    <w:lvl w:ilvl="0" w:tplc="5A5E5E8E">
      <w:start w:val="5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452258"/>
    <w:multiLevelType w:val="multilevel"/>
    <w:tmpl w:val="70DC160A"/>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920DC6"/>
    <w:multiLevelType w:val="hybridMultilevel"/>
    <w:tmpl w:val="48A086E2"/>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0" w15:restartNumberingAfterBreak="0">
    <w:nsid w:val="405A790D"/>
    <w:multiLevelType w:val="hybridMultilevel"/>
    <w:tmpl w:val="D130CB7C"/>
    <w:lvl w:ilvl="0" w:tplc="04070013">
      <w:start w:val="1"/>
      <w:numFmt w:val="upperRoman"/>
      <w:lvlText w:val="%1."/>
      <w:lvlJc w:val="right"/>
      <w:pPr>
        <w:ind w:left="720" w:hanging="360"/>
      </w:pPr>
      <w:rPr>
        <w:rFonts w:hint="default"/>
      </w:rPr>
    </w:lvl>
    <w:lvl w:ilvl="1" w:tplc="EDC41558">
      <w:start w:val="1"/>
      <w:numFmt w:val="decimal"/>
      <w:lvlText w:val="%2)"/>
      <w:lvlJc w:val="left"/>
      <w:pPr>
        <w:ind w:left="1440" w:hanging="360"/>
      </w:pPr>
      <w:rPr>
        <w:rFonts w:ascii="Cambria" w:eastAsiaTheme="minorHAnsi" w:hAnsi="Cambria"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703C4F"/>
    <w:multiLevelType w:val="multilevel"/>
    <w:tmpl w:val="D130CB7C"/>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ascii="Cambria" w:eastAsiaTheme="minorHAnsi" w:hAnsi="Cambria"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32F"/>
    <w:multiLevelType w:val="hybridMultilevel"/>
    <w:tmpl w:val="0E9257F2"/>
    <w:lvl w:ilvl="0" w:tplc="04070005">
      <w:start w:val="1"/>
      <w:numFmt w:val="bullet"/>
      <w:lvlText w:val=""/>
      <w:lvlJc w:val="left"/>
      <w:pPr>
        <w:ind w:left="1776" w:hanging="360"/>
      </w:pPr>
      <w:rPr>
        <w:rFonts w:ascii="Wingdings" w:hAnsi="Wingdings" w:hint="default"/>
      </w:rPr>
    </w:lvl>
    <w:lvl w:ilvl="1" w:tplc="04070005">
      <w:start w:val="1"/>
      <w:numFmt w:val="bullet"/>
      <w:lvlText w:val=""/>
      <w:lvlJc w:val="left"/>
      <w:pPr>
        <w:ind w:left="2496" w:hanging="360"/>
      </w:pPr>
      <w:rPr>
        <w:rFonts w:ascii="Wingdings" w:hAnsi="Wingding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4D480B98"/>
    <w:multiLevelType w:val="hybridMultilevel"/>
    <w:tmpl w:val="0538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40D14"/>
    <w:multiLevelType w:val="hybridMultilevel"/>
    <w:tmpl w:val="D14A7CA0"/>
    <w:lvl w:ilvl="0" w:tplc="710C439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E47D6"/>
    <w:multiLevelType w:val="hybridMultilevel"/>
    <w:tmpl w:val="3004689C"/>
    <w:lvl w:ilvl="0" w:tplc="5A5E5E8E">
      <w:start w:val="5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F81BFF"/>
    <w:multiLevelType w:val="multilevel"/>
    <w:tmpl w:val="5DB6703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767D5F"/>
    <w:multiLevelType w:val="hybridMultilevel"/>
    <w:tmpl w:val="D130CB7C"/>
    <w:lvl w:ilvl="0" w:tplc="04070013">
      <w:start w:val="1"/>
      <w:numFmt w:val="upperRoman"/>
      <w:lvlText w:val="%1."/>
      <w:lvlJc w:val="right"/>
      <w:pPr>
        <w:ind w:left="720" w:hanging="360"/>
      </w:pPr>
      <w:rPr>
        <w:rFonts w:hint="default"/>
      </w:rPr>
    </w:lvl>
    <w:lvl w:ilvl="1" w:tplc="EDC41558">
      <w:start w:val="1"/>
      <w:numFmt w:val="decimal"/>
      <w:lvlText w:val="%2)"/>
      <w:lvlJc w:val="left"/>
      <w:pPr>
        <w:ind w:left="1440" w:hanging="360"/>
      </w:pPr>
      <w:rPr>
        <w:rFonts w:ascii="Cambria" w:eastAsiaTheme="minorHAnsi" w:hAnsi="Cambria"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CD7170"/>
    <w:multiLevelType w:val="hybridMultilevel"/>
    <w:tmpl w:val="49EEC6F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9" w15:restartNumberingAfterBreak="0">
    <w:nsid w:val="61DD1B5D"/>
    <w:multiLevelType w:val="multilevel"/>
    <w:tmpl w:val="F2E02CB6"/>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6450215A"/>
    <w:multiLevelType w:val="multilevel"/>
    <w:tmpl w:val="75C22D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D3443D"/>
    <w:multiLevelType w:val="multilevel"/>
    <w:tmpl w:val="2ECA452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5280255"/>
    <w:multiLevelType w:val="multilevel"/>
    <w:tmpl w:val="649C1ACE"/>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33" w15:restartNumberingAfterBreak="0">
    <w:nsid w:val="66C55C0C"/>
    <w:multiLevelType w:val="multilevel"/>
    <w:tmpl w:val="2652647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8F82CF2"/>
    <w:multiLevelType w:val="multilevel"/>
    <w:tmpl w:val="FB2EC4B6"/>
    <w:lvl w:ilvl="0">
      <w:start w:val="2"/>
      <w:numFmt w:val="decimal"/>
      <w:lvlText w:val="%1."/>
      <w:lvlJc w:val="left"/>
      <w:pPr>
        <w:ind w:left="360" w:hanging="360"/>
      </w:pPr>
      <w:rPr>
        <w:rFonts w:hint="default"/>
      </w:rPr>
    </w:lvl>
    <w:lvl w:ilvl="1">
      <w:start w:val="1"/>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104" w:hanging="1800"/>
      </w:pPr>
      <w:rPr>
        <w:rFonts w:hint="default"/>
      </w:rPr>
    </w:lvl>
  </w:abstractNum>
  <w:abstractNum w:abstractNumId="35" w15:restartNumberingAfterBreak="0">
    <w:nsid w:val="692A4D4A"/>
    <w:multiLevelType w:val="multilevel"/>
    <w:tmpl w:val="C1E275F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C32395"/>
    <w:multiLevelType w:val="hybridMultilevel"/>
    <w:tmpl w:val="87FAE640"/>
    <w:lvl w:ilvl="0" w:tplc="710C4394">
      <w:numFmt w:val="bullet"/>
      <w:lvlText w:val="-"/>
      <w:lvlJc w:val="left"/>
      <w:pPr>
        <w:ind w:left="2496" w:hanging="360"/>
      </w:pPr>
      <w:rPr>
        <w:rFonts w:ascii="Cambria" w:eastAsiaTheme="minorHAnsi" w:hAnsi="Cambria" w:cs="Times New Roman"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7" w15:restartNumberingAfterBreak="0">
    <w:nsid w:val="72447C3A"/>
    <w:multiLevelType w:val="hybridMultilevel"/>
    <w:tmpl w:val="BB4CD13C"/>
    <w:lvl w:ilvl="0" w:tplc="04070005">
      <w:start w:val="1"/>
      <w:numFmt w:val="bullet"/>
      <w:lvlText w:val=""/>
      <w:lvlJc w:val="left"/>
      <w:pPr>
        <w:ind w:left="2172" w:hanging="360"/>
      </w:pPr>
      <w:rPr>
        <w:rFonts w:ascii="Wingdings" w:hAnsi="Wingdings" w:hint="default"/>
      </w:rPr>
    </w:lvl>
    <w:lvl w:ilvl="1" w:tplc="04070001">
      <w:start w:val="1"/>
      <w:numFmt w:val="bullet"/>
      <w:lvlText w:val=""/>
      <w:lvlJc w:val="left"/>
      <w:pPr>
        <w:ind w:left="1812" w:hanging="360"/>
      </w:pPr>
      <w:rPr>
        <w:rFonts w:ascii="Symbol" w:hAnsi="Symbol" w:hint="default"/>
      </w:rPr>
    </w:lvl>
    <w:lvl w:ilvl="2" w:tplc="5A5E5E8E">
      <w:start w:val="53"/>
      <w:numFmt w:val="bullet"/>
      <w:lvlText w:val="-"/>
      <w:lvlJc w:val="left"/>
      <w:pPr>
        <w:ind w:left="1044" w:hanging="360"/>
      </w:pPr>
      <w:rPr>
        <w:rFonts w:ascii="Calibri" w:eastAsiaTheme="minorHAnsi" w:hAnsi="Calibri" w:cs="Calibri" w:hint="default"/>
      </w:rPr>
    </w:lvl>
    <w:lvl w:ilvl="3" w:tplc="04070001">
      <w:start w:val="1"/>
      <w:numFmt w:val="bullet"/>
      <w:lvlText w:val=""/>
      <w:lvlJc w:val="left"/>
      <w:pPr>
        <w:ind w:left="3204" w:hanging="360"/>
      </w:pPr>
      <w:rPr>
        <w:rFonts w:ascii="Symbol" w:hAnsi="Symbol" w:hint="default"/>
      </w:rPr>
    </w:lvl>
    <w:lvl w:ilvl="4" w:tplc="04070003">
      <w:start w:val="1"/>
      <w:numFmt w:val="bullet"/>
      <w:lvlText w:val="o"/>
      <w:lvlJc w:val="left"/>
      <w:pPr>
        <w:ind w:left="3924" w:hanging="360"/>
      </w:pPr>
      <w:rPr>
        <w:rFonts w:ascii="Courier New" w:hAnsi="Courier New" w:cs="Courier New" w:hint="default"/>
      </w:rPr>
    </w:lvl>
    <w:lvl w:ilvl="5" w:tplc="04070005" w:tentative="1">
      <w:start w:val="1"/>
      <w:numFmt w:val="bullet"/>
      <w:lvlText w:val=""/>
      <w:lvlJc w:val="left"/>
      <w:pPr>
        <w:ind w:left="4644" w:hanging="360"/>
      </w:pPr>
      <w:rPr>
        <w:rFonts w:ascii="Wingdings" w:hAnsi="Wingdings" w:hint="default"/>
      </w:rPr>
    </w:lvl>
    <w:lvl w:ilvl="6" w:tplc="04070001" w:tentative="1">
      <w:start w:val="1"/>
      <w:numFmt w:val="bullet"/>
      <w:lvlText w:val=""/>
      <w:lvlJc w:val="left"/>
      <w:pPr>
        <w:ind w:left="5364" w:hanging="360"/>
      </w:pPr>
      <w:rPr>
        <w:rFonts w:ascii="Symbol" w:hAnsi="Symbol" w:hint="default"/>
      </w:rPr>
    </w:lvl>
    <w:lvl w:ilvl="7" w:tplc="04070003" w:tentative="1">
      <w:start w:val="1"/>
      <w:numFmt w:val="bullet"/>
      <w:lvlText w:val="o"/>
      <w:lvlJc w:val="left"/>
      <w:pPr>
        <w:ind w:left="6084" w:hanging="360"/>
      </w:pPr>
      <w:rPr>
        <w:rFonts w:ascii="Courier New" w:hAnsi="Courier New" w:cs="Courier New" w:hint="default"/>
      </w:rPr>
    </w:lvl>
    <w:lvl w:ilvl="8" w:tplc="04070005" w:tentative="1">
      <w:start w:val="1"/>
      <w:numFmt w:val="bullet"/>
      <w:lvlText w:val=""/>
      <w:lvlJc w:val="left"/>
      <w:pPr>
        <w:ind w:left="6804" w:hanging="360"/>
      </w:pPr>
      <w:rPr>
        <w:rFonts w:ascii="Wingdings" w:hAnsi="Wingdings" w:hint="default"/>
      </w:rPr>
    </w:lvl>
  </w:abstractNum>
  <w:abstractNum w:abstractNumId="38" w15:restartNumberingAfterBreak="0">
    <w:nsid w:val="73B526D5"/>
    <w:multiLevelType w:val="hybridMultilevel"/>
    <w:tmpl w:val="D076E90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745E4D"/>
    <w:multiLevelType w:val="hybridMultilevel"/>
    <w:tmpl w:val="0F268944"/>
    <w:lvl w:ilvl="0" w:tplc="04070005">
      <w:start w:val="1"/>
      <w:numFmt w:val="bullet"/>
      <w:lvlText w:val=""/>
      <w:lvlJc w:val="left"/>
      <w:pPr>
        <w:ind w:left="1776" w:hanging="360"/>
      </w:pPr>
      <w:rPr>
        <w:rFonts w:ascii="Wingdings" w:hAnsi="Wingdings" w:hint="default"/>
      </w:rPr>
    </w:lvl>
    <w:lvl w:ilvl="1" w:tplc="5A5E5E8E">
      <w:start w:val="53"/>
      <w:numFmt w:val="bullet"/>
      <w:lvlText w:val="-"/>
      <w:lvlJc w:val="left"/>
      <w:pPr>
        <w:ind w:left="1068" w:hanging="360"/>
      </w:pPr>
      <w:rPr>
        <w:rFonts w:ascii="Calibri" w:eastAsiaTheme="minorHAnsi" w:hAnsi="Calibri" w:cs="Calibri" w:hint="default"/>
      </w:rPr>
    </w:lvl>
    <w:lvl w:ilvl="2" w:tplc="5A5E5E8E">
      <w:start w:val="53"/>
      <w:numFmt w:val="bullet"/>
      <w:lvlText w:val="-"/>
      <w:lvlJc w:val="left"/>
      <w:pPr>
        <w:ind w:left="1068" w:hanging="360"/>
      </w:pPr>
      <w:rPr>
        <w:rFonts w:ascii="Calibri" w:eastAsiaTheme="minorHAnsi" w:hAnsi="Calibri" w:cs="Calibri"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6C12E78"/>
    <w:multiLevelType w:val="hybridMultilevel"/>
    <w:tmpl w:val="7B12D69C"/>
    <w:lvl w:ilvl="0" w:tplc="3EB4D646">
      <w:start w:val="1"/>
      <w:numFmt w:val="decimal"/>
      <w:lvlText w:val="%1)"/>
      <w:lvlJc w:val="left"/>
      <w:pPr>
        <w:ind w:left="1440" w:hanging="360"/>
      </w:pPr>
      <w:rPr>
        <w:rFont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C01005B"/>
    <w:multiLevelType w:val="hybridMultilevel"/>
    <w:tmpl w:val="D242DD82"/>
    <w:lvl w:ilvl="0" w:tplc="76D6680A">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2" w15:restartNumberingAfterBreak="0">
    <w:nsid w:val="7C580349"/>
    <w:multiLevelType w:val="hybridMultilevel"/>
    <w:tmpl w:val="52F4F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9"/>
  </w:num>
  <w:num w:numId="2">
    <w:abstractNumId w:val="11"/>
  </w:num>
  <w:num w:numId="3">
    <w:abstractNumId w:val="28"/>
  </w:num>
  <w:num w:numId="4">
    <w:abstractNumId w:val="9"/>
  </w:num>
  <w:num w:numId="5">
    <w:abstractNumId w:val="0"/>
  </w:num>
  <w:num w:numId="6">
    <w:abstractNumId w:val="8"/>
  </w:num>
  <w:num w:numId="7">
    <w:abstractNumId w:val="17"/>
  </w:num>
  <w:num w:numId="8">
    <w:abstractNumId w:val="25"/>
  </w:num>
  <w:num w:numId="9">
    <w:abstractNumId w:val="40"/>
  </w:num>
  <w:num w:numId="10">
    <w:abstractNumId w:val="37"/>
  </w:num>
  <w:num w:numId="11">
    <w:abstractNumId w:val="3"/>
  </w:num>
  <w:num w:numId="12">
    <w:abstractNumId w:val="19"/>
  </w:num>
  <w:num w:numId="13">
    <w:abstractNumId w:val="22"/>
  </w:num>
  <w:num w:numId="14">
    <w:abstractNumId w:val="38"/>
  </w:num>
  <w:num w:numId="15">
    <w:abstractNumId w:val="7"/>
  </w:num>
  <w:num w:numId="16">
    <w:abstractNumId w:val="14"/>
  </w:num>
  <w:num w:numId="17">
    <w:abstractNumId w:val="12"/>
  </w:num>
  <w:num w:numId="18">
    <w:abstractNumId w:val="2"/>
  </w:num>
  <w:num w:numId="19">
    <w:abstractNumId w:val="24"/>
  </w:num>
  <w:num w:numId="20">
    <w:abstractNumId w:val="27"/>
  </w:num>
  <w:num w:numId="21">
    <w:abstractNumId w:val="36"/>
  </w:num>
  <w:num w:numId="22">
    <w:abstractNumId w:val="42"/>
  </w:num>
  <w:num w:numId="23">
    <w:abstractNumId w:val="23"/>
  </w:num>
  <w:num w:numId="24">
    <w:abstractNumId w:val="4"/>
  </w:num>
  <w:num w:numId="25">
    <w:abstractNumId w:val="13"/>
  </w:num>
  <w:num w:numId="26">
    <w:abstractNumId w:val="10"/>
  </w:num>
  <w:num w:numId="27">
    <w:abstractNumId w:val="16"/>
  </w:num>
  <w:num w:numId="28">
    <w:abstractNumId w:val="31"/>
  </w:num>
  <w:num w:numId="29">
    <w:abstractNumId w:val="15"/>
  </w:num>
  <w:num w:numId="30">
    <w:abstractNumId w:val="32"/>
  </w:num>
  <w:num w:numId="31">
    <w:abstractNumId w:val="33"/>
  </w:num>
  <w:num w:numId="32">
    <w:abstractNumId w:val="29"/>
  </w:num>
  <w:num w:numId="33">
    <w:abstractNumId w:val="34"/>
  </w:num>
  <w:num w:numId="34">
    <w:abstractNumId w:val="26"/>
  </w:num>
  <w:num w:numId="35">
    <w:abstractNumId w:val="5"/>
  </w:num>
  <w:num w:numId="36">
    <w:abstractNumId w:val="18"/>
  </w:num>
  <w:num w:numId="37">
    <w:abstractNumId w:val="30"/>
  </w:num>
  <w:num w:numId="38">
    <w:abstractNumId w:val="35"/>
  </w:num>
  <w:num w:numId="39">
    <w:abstractNumId w:val="21"/>
  </w:num>
  <w:num w:numId="40">
    <w:abstractNumId w:val="41"/>
  </w:num>
  <w:num w:numId="41">
    <w:abstractNumId w:val="20"/>
  </w:num>
  <w:num w:numId="42">
    <w:abstractNumId w:val="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65"/>
    <w:rsid w:val="000007C2"/>
    <w:rsid w:val="00003B18"/>
    <w:rsid w:val="00005794"/>
    <w:rsid w:val="0000775B"/>
    <w:rsid w:val="0001036E"/>
    <w:rsid w:val="000110A4"/>
    <w:rsid w:val="00033565"/>
    <w:rsid w:val="000348E4"/>
    <w:rsid w:val="00040175"/>
    <w:rsid w:val="00044283"/>
    <w:rsid w:val="00044BB6"/>
    <w:rsid w:val="00051EFC"/>
    <w:rsid w:val="00061496"/>
    <w:rsid w:val="000652B8"/>
    <w:rsid w:val="00065E95"/>
    <w:rsid w:val="0006629F"/>
    <w:rsid w:val="000671C8"/>
    <w:rsid w:val="0007698B"/>
    <w:rsid w:val="000848B4"/>
    <w:rsid w:val="000A1A1B"/>
    <w:rsid w:val="000C01C0"/>
    <w:rsid w:val="000C3805"/>
    <w:rsid w:val="000C43E0"/>
    <w:rsid w:val="000C7DF0"/>
    <w:rsid w:val="000D7C97"/>
    <w:rsid w:val="000E4135"/>
    <w:rsid w:val="000F0D98"/>
    <w:rsid w:val="000F68F9"/>
    <w:rsid w:val="001018A0"/>
    <w:rsid w:val="00104E84"/>
    <w:rsid w:val="001108A6"/>
    <w:rsid w:val="001138FC"/>
    <w:rsid w:val="001222AD"/>
    <w:rsid w:val="00130B1E"/>
    <w:rsid w:val="00133256"/>
    <w:rsid w:val="00150F79"/>
    <w:rsid w:val="0015141F"/>
    <w:rsid w:val="0017695D"/>
    <w:rsid w:val="00182726"/>
    <w:rsid w:val="0019349F"/>
    <w:rsid w:val="00194141"/>
    <w:rsid w:val="001946E4"/>
    <w:rsid w:val="00195352"/>
    <w:rsid w:val="00196C49"/>
    <w:rsid w:val="001A2124"/>
    <w:rsid w:val="001B27F7"/>
    <w:rsid w:val="001B70C2"/>
    <w:rsid w:val="001B7116"/>
    <w:rsid w:val="001C6B0E"/>
    <w:rsid w:val="001D7A32"/>
    <w:rsid w:val="001E2CCD"/>
    <w:rsid w:val="001E7DE9"/>
    <w:rsid w:val="001F35C3"/>
    <w:rsid w:val="001F58D8"/>
    <w:rsid w:val="00204AB2"/>
    <w:rsid w:val="00205BA6"/>
    <w:rsid w:val="002078C3"/>
    <w:rsid w:val="00221EB0"/>
    <w:rsid w:val="0022450C"/>
    <w:rsid w:val="002276AA"/>
    <w:rsid w:val="00231590"/>
    <w:rsid w:val="002357D8"/>
    <w:rsid w:val="002436E6"/>
    <w:rsid w:val="00244115"/>
    <w:rsid w:val="00252389"/>
    <w:rsid w:val="002571F9"/>
    <w:rsid w:val="00257CDE"/>
    <w:rsid w:val="002611B9"/>
    <w:rsid w:val="00265738"/>
    <w:rsid w:val="00273D55"/>
    <w:rsid w:val="00273F39"/>
    <w:rsid w:val="00277E91"/>
    <w:rsid w:val="00281F7A"/>
    <w:rsid w:val="0028558F"/>
    <w:rsid w:val="00291DE7"/>
    <w:rsid w:val="00296654"/>
    <w:rsid w:val="002A4BA3"/>
    <w:rsid w:val="002A785F"/>
    <w:rsid w:val="002B197F"/>
    <w:rsid w:val="002B2956"/>
    <w:rsid w:val="002B4B32"/>
    <w:rsid w:val="002B75B8"/>
    <w:rsid w:val="002C03FF"/>
    <w:rsid w:val="002C0DB7"/>
    <w:rsid w:val="002C14AE"/>
    <w:rsid w:val="002D69CC"/>
    <w:rsid w:val="002E0A49"/>
    <w:rsid w:val="002F1DCC"/>
    <w:rsid w:val="002F7D35"/>
    <w:rsid w:val="003031E1"/>
    <w:rsid w:val="00304FD6"/>
    <w:rsid w:val="00306E06"/>
    <w:rsid w:val="00306E2C"/>
    <w:rsid w:val="00311AD6"/>
    <w:rsid w:val="00315887"/>
    <w:rsid w:val="00321FA3"/>
    <w:rsid w:val="0032477B"/>
    <w:rsid w:val="003265CE"/>
    <w:rsid w:val="00331715"/>
    <w:rsid w:val="00332A29"/>
    <w:rsid w:val="003467F3"/>
    <w:rsid w:val="00351AFE"/>
    <w:rsid w:val="00351E3E"/>
    <w:rsid w:val="00354DE8"/>
    <w:rsid w:val="00361DF2"/>
    <w:rsid w:val="003776DF"/>
    <w:rsid w:val="0038699E"/>
    <w:rsid w:val="00392166"/>
    <w:rsid w:val="0039624B"/>
    <w:rsid w:val="003A3913"/>
    <w:rsid w:val="003A75D4"/>
    <w:rsid w:val="003B2C5B"/>
    <w:rsid w:val="003C0355"/>
    <w:rsid w:val="003C1B8D"/>
    <w:rsid w:val="003C2469"/>
    <w:rsid w:val="003C6900"/>
    <w:rsid w:val="003D0D8A"/>
    <w:rsid w:val="003D1877"/>
    <w:rsid w:val="003D2D53"/>
    <w:rsid w:val="00402AF4"/>
    <w:rsid w:val="00402F88"/>
    <w:rsid w:val="00405936"/>
    <w:rsid w:val="004108D9"/>
    <w:rsid w:val="00413D96"/>
    <w:rsid w:val="0041418E"/>
    <w:rsid w:val="00414BF4"/>
    <w:rsid w:val="0041699B"/>
    <w:rsid w:val="00417BF5"/>
    <w:rsid w:val="00434259"/>
    <w:rsid w:val="004420E1"/>
    <w:rsid w:val="00452236"/>
    <w:rsid w:val="00454F89"/>
    <w:rsid w:val="00455AC1"/>
    <w:rsid w:val="00464513"/>
    <w:rsid w:val="00465725"/>
    <w:rsid w:val="00467810"/>
    <w:rsid w:val="004722D5"/>
    <w:rsid w:val="00472537"/>
    <w:rsid w:val="00473660"/>
    <w:rsid w:val="00476279"/>
    <w:rsid w:val="004844AC"/>
    <w:rsid w:val="004A33B2"/>
    <w:rsid w:val="004B0464"/>
    <w:rsid w:val="004C0BF2"/>
    <w:rsid w:val="004C2307"/>
    <w:rsid w:val="004C73E6"/>
    <w:rsid w:val="004D36AF"/>
    <w:rsid w:val="004E7AD1"/>
    <w:rsid w:val="004F2974"/>
    <w:rsid w:val="004F3CAB"/>
    <w:rsid w:val="00505917"/>
    <w:rsid w:val="0050601D"/>
    <w:rsid w:val="0051247B"/>
    <w:rsid w:val="00512A6C"/>
    <w:rsid w:val="00515954"/>
    <w:rsid w:val="00517DE6"/>
    <w:rsid w:val="00520E63"/>
    <w:rsid w:val="005225CA"/>
    <w:rsid w:val="0052358F"/>
    <w:rsid w:val="0053081B"/>
    <w:rsid w:val="005370EB"/>
    <w:rsid w:val="00537E05"/>
    <w:rsid w:val="005419DA"/>
    <w:rsid w:val="00541F60"/>
    <w:rsid w:val="00542F49"/>
    <w:rsid w:val="00554745"/>
    <w:rsid w:val="00555558"/>
    <w:rsid w:val="005568C3"/>
    <w:rsid w:val="00560AC8"/>
    <w:rsid w:val="005643EE"/>
    <w:rsid w:val="005666CB"/>
    <w:rsid w:val="005679F9"/>
    <w:rsid w:val="00573F7F"/>
    <w:rsid w:val="00574107"/>
    <w:rsid w:val="0058294F"/>
    <w:rsid w:val="005909A9"/>
    <w:rsid w:val="00595BBB"/>
    <w:rsid w:val="005B010F"/>
    <w:rsid w:val="005B1F49"/>
    <w:rsid w:val="005C033D"/>
    <w:rsid w:val="005C64F2"/>
    <w:rsid w:val="005C6D19"/>
    <w:rsid w:val="005D00AB"/>
    <w:rsid w:val="005D597D"/>
    <w:rsid w:val="005E3A8A"/>
    <w:rsid w:val="005F3B1E"/>
    <w:rsid w:val="005F79AE"/>
    <w:rsid w:val="006036E4"/>
    <w:rsid w:val="006116B9"/>
    <w:rsid w:val="00611C4A"/>
    <w:rsid w:val="00622CF0"/>
    <w:rsid w:val="006333EF"/>
    <w:rsid w:val="0064239A"/>
    <w:rsid w:val="00646625"/>
    <w:rsid w:val="0065082E"/>
    <w:rsid w:val="00666D35"/>
    <w:rsid w:val="006731C8"/>
    <w:rsid w:val="00675BCC"/>
    <w:rsid w:val="006806B7"/>
    <w:rsid w:val="006878BD"/>
    <w:rsid w:val="00694531"/>
    <w:rsid w:val="00695912"/>
    <w:rsid w:val="00696147"/>
    <w:rsid w:val="006A6A64"/>
    <w:rsid w:val="006B1E9B"/>
    <w:rsid w:val="006B2934"/>
    <w:rsid w:val="006B4BC6"/>
    <w:rsid w:val="006B5D17"/>
    <w:rsid w:val="006B655F"/>
    <w:rsid w:val="006B7371"/>
    <w:rsid w:val="006C17C4"/>
    <w:rsid w:val="006C2AB4"/>
    <w:rsid w:val="006C6683"/>
    <w:rsid w:val="006D134C"/>
    <w:rsid w:val="006D321A"/>
    <w:rsid w:val="006D58C5"/>
    <w:rsid w:val="006E2EDB"/>
    <w:rsid w:val="006E7ECC"/>
    <w:rsid w:val="00707EA1"/>
    <w:rsid w:val="0071122A"/>
    <w:rsid w:val="00717B21"/>
    <w:rsid w:val="00723922"/>
    <w:rsid w:val="00731BEF"/>
    <w:rsid w:val="00732951"/>
    <w:rsid w:val="00742CCE"/>
    <w:rsid w:val="00744F65"/>
    <w:rsid w:val="007463F1"/>
    <w:rsid w:val="007564F4"/>
    <w:rsid w:val="007616DB"/>
    <w:rsid w:val="00761B6B"/>
    <w:rsid w:val="0076265D"/>
    <w:rsid w:val="00764FDC"/>
    <w:rsid w:val="007661AC"/>
    <w:rsid w:val="007714D4"/>
    <w:rsid w:val="00775C38"/>
    <w:rsid w:val="00791C07"/>
    <w:rsid w:val="00793875"/>
    <w:rsid w:val="007A3349"/>
    <w:rsid w:val="007B2EE1"/>
    <w:rsid w:val="007B4B85"/>
    <w:rsid w:val="007B6DC5"/>
    <w:rsid w:val="007B7309"/>
    <w:rsid w:val="007D200E"/>
    <w:rsid w:val="007D6688"/>
    <w:rsid w:val="007F3F36"/>
    <w:rsid w:val="00800E5B"/>
    <w:rsid w:val="0080176D"/>
    <w:rsid w:val="008045FF"/>
    <w:rsid w:val="00806B62"/>
    <w:rsid w:val="00820DAB"/>
    <w:rsid w:val="00824177"/>
    <w:rsid w:val="00825CEC"/>
    <w:rsid w:val="0085258B"/>
    <w:rsid w:val="00852C72"/>
    <w:rsid w:val="00852DC0"/>
    <w:rsid w:val="00856979"/>
    <w:rsid w:val="00863F37"/>
    <w:rsid w:val="00870392"/>
    <w:rsid w:val="00871333"/>
    <w:rsid w:val="008724A0"/>
    <w:rsid w:val="00872E27"/>
    <w:rsid w:val="00874514"/>
    <w:rsid w:val="0087472C"/>
    <w:rsid w:val="00876DE1"/>
    <w:rsid w:val="00884A6F"/>
    <w:rsid w:val="0088588B"/>
    <w:rsid w:val="00886B01"/>
    <w:rsid w:val="008927C3"/>
    <w:rsid w:val="00893687"/>
    <w:rsid w:val="00893723"/>
    <w:rsid w:val="008969EC"/>
    <w:rsid w:val="008A0CF2"/>
    <w:rsid w:val="008A244D"/>
    <w:rsid w:val="008A51E8"/>
    <w:rsid w:val="008B198A"/>
    <w:rsid w:val="008C012F"/>
    <w:rsid w:val="008C4907"/>
    <w:rsid w:val="008D3D06"/>
    <w:rsid w:val="008E1406"/>
    <w:rsid w:val="008E3C27"/>
    <w:rsid w:val="008E728D"/>
    <w:rsid w:val="008F27E2"/>
    <w:rsid w:val="008F3D19"/>
    <w:rsid w:val="008F7C91"/>
    <w:rsid w:val="009014B6"/>
    <w:rsid w:val="009017B0"/>
    <w:rsid w:val="009031BD"/>
    <w:rsid w:val="009116FB"/>
    <w:rsid w:val="00912959"/>
    <w:rsid w:val="009134A5"/>
    <w:rsid w:val="009156DA"/>
    <w:rsid w:val="009174FD"/>
    <w:rsid w:val="00921EE4"/>
    <w:rsid w:val="00923437"/>
    <w:rsid w:val="00924111"/>
    <w:rsid w:val="00927C55"/>
    <w:rsid w:val="00930DBB"/>
    <w:rsid w:val="00930FB3"/>
    <w:rsid w:val="009424C5"/>
    <w:rsid w:val="00942EFE"/>
    <w:rsid w:val="0094663B"/>
    <w:rsid w:val="00947333"/>
    <w:rsid w:val="009502D5"/>
    <w:rsid w:val="00953709"/>
    <w:rsid w:val="00960224"/>
    <w:rsid w:val="00960A69"/>
    <w:rsid w:val="00974BC5"/>
    <w:rsid w:val="00977CB3"/>
    <w:rsid w:val="0098204F"/>
    <w:rsid w:val="00984510"/>
    <w:rsid w:val="00990380"/>
    <w:rsid w:val="00997974"/>
    <w:rsid w:val="009B2B08"/>
    <w:rsid w:val="009B2C92"/>
    <w:rsid w:val="009B6B0E"/>
    <w:rsid w:val="009B6C04"/>
    <w:rsid w:val="009C03A8"/>
    <w:rsid w:val="009C1FF6"/>
    <w:rsid w:val="009D6E04"/>
    <w:rsid w:val="009D7958"/>
    <w:rsid w:val="009E4968"/>
    <w:rsid w:val="009E7246"/>
    <w:rsid w:val="00A06180"/>
    <w:rsid w:val="00A1714E"/>
    <w:rsid w:val="00A1724C"/>
    <w:rsid w:val="00A24A03"/>
    <w:rsid w:val="00A25D6B"/>
    <w:rsid w:val="00A63E71"/>
    <w:rsid w:val="00A64DC4"/>
    <w:rsid w:val="00A7535A"/>
    <w:rsid w:val="00A81EE3"/>
    <w:rsid w:val="00A855A4"/>
    <w:rsid w:val="00A92160"/>
    <w:rsid w:val="00A96BF1"/>
    <w:rsid w:val="00AA1381"/>
    <w:rsid w:val="00AA3B89"/>
    <w:rsid w:val="00AA4124"/>
    <w:rsid w:val="00AA6DC8"/>
    <w:rsid w:val="00AB216C"/>
    <w:rsid w:val="00AB5DFB"/>
    <w:rsid w:val="00AD1C0A"/>
    <w:rsid w:val="00AD22B2"/>
    <w:rsid w:val="00AD38F6"/>
    <w:rsid w:val="00AE0379"/>
    <w:rsid w:val="00AF0165"/>
    <w:rsid w:val="00AF5AD4"/>
    <w:rsid w:val="00AF72D3"/>
    <w:rsid w:val="00AF7855"/>
    <w:rsid w:val="00B01F8C"/>
    <w:rsid w:val="00B03CC4"/>
    <w:rsid w:val="00B05BCF"/>
    <w:rsid w:val="00B1448F"/>
    <w:rsid w:val="00B224FB"/>
    <w:rsid w:val="00B24706"/>
    <w:rsid w:val="00B277D4"/>
    <w:rsid w:val="00B340BA"/>
    <w:rsid w:val="00B34AE4"/>
    <w:rsid w:val="00B35704"/>
    <w:rsid w:val="00B35A52"/>
    <w:rsid w:val="00B42DDD"/>
    <w:rsid w:val="00B44A18"/>
    <w:rsid w:val="00B5179E"/>
    <w:rsid w:val="00B641F2"/>
    <w:rsid w:val="00B64B72"/>
    <w:rsid w:val="00B65F61"/>
    <w:rsid w:val="00B67D06"/>
    <w:rsid w:val="00B710B2"/>
    <w:rsid w:val="00B772A3"/>
    <w:rsid w:val="00B80DB7"/>
    <w:rsid w:val="00B814E8"/>
    <w:rsid w:val="00B82753"/>
    <w:rsid w:val="00B9071E"/>
    <w:rsid w:val="00B90F05"/>
    <w:rsid w:val="00B95111"/>
    <w:rsid w:val="00BA17D5"/>
    <w:rsid w:val="00BA2264"/>
    <w:rsid w:val="00BB1F04"/>
    <w:rsid w:val="00BC0D2A"/>
    <w:rsid w:val="00BC45A4"/>
    <w:rsid w:val="00BC6A02"/>
    <w:rsid w:val="00BE1F52"/>
    <w:rsid w:val="00BE47A1"/>
    <w:rsid w:val="00BF3326"/>
    <w:rsid w:val="00C023F4"/>
    <w:rsid w:val="00C0266E"/>
    <w:rsid w:val="00C06918"/>
    <w:rsid w:val="00C174CC"/>
    <w:rsid w:val="00C24887"/>
    <w:rsid w:val="00C32AE2"/>
    <w:rsid w:val="00C415C6"/>
    <w:rsid w:val="00C42598"/>
    <w:rsid w:val="00C42CCC"/>
    <w:rsid w:val="00C4395C"/>
    <w:rsid w:val="00C441E1"/>
    <w:rsid w:val="00C46F82"/>
    <w:rsid w:val="00C51D4E"/>
    <w:rsid w:val="00C62101"/>
    <w:rsid w:val="00C64BC6"/>
    <w:rsid w:val="00C66655"/>
    <w:rsid w:val="00C66E0F"/>
    <w:rsid w:val="00C672BA"/>
    <w:rsid w:val="00C979C6"/>
    <w:rsid w:val="00CA08D4"/>
    <w:rsid w:val="00CA2DB7"/>
    <w:rsid w:val="00CA4742"/>
    <w:rsid w:val="00CA6064"/>
    <w:rsid w:val="00CA7CB3"/>
    <w:rsid w:val="00CB4920"/>
    <w:rsid w:val="00CB791D"/>
    <w:rsid w:val="00CB7E2B"/>
    <w:rsid w:val="00CC190F"/>
    <w:rsid w:val="00CD40FD"/>
    <w:rsid w:val="00CD57D6"/>
    <w:rsid w:val="00CF2618"/>
    <w:rsid w:val="00CF6C55"/>
    <w:rsid w:val="00D01E72"/>
    <w:rsid w:val="00D02258"/>
    <w:rsid w:val="00D023C7"/>
    <w:rsid w:val="00D077EB"/>
    <w:rsid w:val="00D101BF"/>
    <w:rsid w:val="00D20070"/>
    <w:rsid w:val="00D27533"/>
    <w:rsid w:val="00D34CAE"/>
    <w:rsid w:val="00D36362"/>
    <w:rsid w:val="00D63655"/>
    <w:rsid w:val="00D65227"/>
    <w:rsid w:val="00D65262"/>
    <w:rsid w:val="00D7212C"/>
    <w:rsid w:val="00D72D57"/>
    <w:rsid w:val="00D87101"/>
    <w:rsid w:val="00D873EE"/>
    <w:rsid w:val="00D90B6C"/>
    <w:rsid w:val="00DA2C9F"/>
    <w:rsid w:val="00DA4E53"/>
    <w:rsid w:val="00DB3DDD"/>
    <w:rsid w:val="00DB4930"/>
    <w:rsid w:val="00DC0B56"/>
    <w:rsid w:val="00DC132F"/>
    <w:rsid w:val="00DC18BB"/>
    <w:rsid w:val="00DC4335"/>
    <w:rsid w:val="00DC7F9C"/>
    <w:rsid w:val="00DF040D"/>
    <w:rsid w:val="00DF7036"/>
    <w:rsid w:val="00DF711F"/>
    <w:rsid w:val="00E008B2"/>
    <w:rsid w:val="00E21027"/>
    <w:rsid w:val="00E2310E"/>
    <w:rsid w:val="00E235F2"/>
    <w:rsid w:val="00E23976"/>
    <w:rsid w:val="00E27DA3"/>
    <w:rsid w:val="00E33022"/>
    <w:rsid w:val="00E4387E"/>
    <w:rsid w:val="00E46A74"/>
    <w:rsid w:val="00E47294"/>
    <w:rsid w:val="00E5225D"/>
    <w:rsid w:val="00E52790"/>
    <w:rsid w:val="00E5328D"/>
    <w:rsid w:val="00E55315"/>
    <w:rsid w:val="00E67BE5"/>
    <w:rsid w:val="00E67EA2"/>
    <w:rsid w:val="00E67F28"/>
    <w:rsid w:val="00E759DB"/>
    <w:rsid w:val="00E8161C"/>
    <w:rsid w:val="00E91C5F"/>
    <w:rsid w:val="00E92FC8"/>
    <w:rsid w:val="00E94766"/>
    <w:rsid w:val="00E95442"/>
    <w:rsid w:val="00EA1CEC"/>
    <w:rsid w:val="00EA6F7E"/>
    <w:rsid w:val="00EB21B0"/>
    <w:rsid w:val="00EB4C4A"/>
    <w:rsid w:val="00EB628D"/>
    <w:rsid w:val="00EC1875"/>
    <w:rsid w:val="00EC41CF"/>
    <w:rsid w:val="00ED1137"/>
    <w:rsid w:val="00ED2140"/>
    <w:rsid w:val="00ED29DD"/>
    <w:rsid w:val="00EE1ED3"/>
    <w:rsid w:val="00EE7B73"/>
    <w:rsid w:val="00F0096D"/>
    <w:rsid w:val="00F02528"/>
    <w:rsid w:val="00F04F11"/>
    <w:rsid w:val="00F07C7D"/>
    <w:rsid w:val="00F109DB"/>
    <w:rsid w:val="00F262EF"/>
    <w:rsid w:val="00F26396"/>
    <w:rsid w:val="00F2690A"/>
    <w:rsid w:val="00F4436A"/>
    <w:rsid w:val="00F45E0B"/>
    <w:rsid w:val="00F4798A"/>
    <w:rsid w:val="00F47A27"/>
    <w:rsid w:val="00F506D2"/>
    <w:rsid w:val="00F53BB4"/>
    <w:rsid w:val="00F54FBE"/>
    <w:rsid w:val="00F55D73"/>
    <w:rsid w:val="00F56BF3"/>
    <w:rsid w:val="00F62337"/>
    <w:rsid w:val="00F66ED4"/>
    <w:rsid w:val="00F73838"/>
    <w:rsid w:val="00F826CA"/>
    <w:rsid w:val="00F91482"/>
    <w:rsid w:val="00FA397E"/>
    <w:rsid w:val="00FA541F"/>
    <w:rsid w:val="00FA77A1"/>
    <w:rsid w:val="00FB48C7"/>
    <w:rsid w:val="00FB4DE7"/>
    <w:rsid w:val="00FE0B59"/>
    <w:rsid w:val="00FE445D"/>
    <w:rsid w:val="00FE5D77"/>
    <w:rsid w:val="00FF11E5"/>
    <w:rsid w:val="00FF52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60AB4"/>
  <w15:chartTrackingRefBased/>
  <w15:docId w15:val="{1B954B65-C798-4F3E-A258-DF8D5A9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3565"/>
    <w:pPr>
      <w:ind w:left="720"/>
      <w:contextualSpacing/>
    </w:pPr>
  </w:style>
  <w:style w:type="paragraph" w:styleId="FormateretHTML">
    <w:name w:val="HTML Preformatted"/>
    <w:basedOn w:val="Normal"/>
    <w:link w:val="FormateretHTMLTegn"/>
    <w:uiPriority w:val="99"/>
    <w:semiHidden/>
    <w:unhideWhenUsed/>
    <w:rsid w:val="00ED1137"/>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D1137"/>
    <w:rPr>
      <w:rFonts w:ascii="Consolas" w:hAnsi="Consolas" w:cs="Consolas"/>
      <w:sz w:val="20"/>
      <w:szCs w:val="20"/>
    </w:rPr>
  </w:style>
  <w:style w:type="paragraph" w:styleId="Sidehoved">
    <w:name w:val="header"/>
    <w:basedOn w:val="Normal"/>
    <w:link w:val="SidehovedTegn"/>
    <w:uiPriority w:val="99"/>
    <w:unhideWhenUsed/>
    <w:rsid w:val="008927C3"/>
    <w:pPr>
      <w:tabs>
        <w:tab w:val="center" w:pos="4536"/>
        <w:tab w:val="right" w:pos="9072"/>
      </w:tabs>
    </w:pPr>
  </w:style>
  <w:style w:type="character" w:customStyle="1" w:styleId="SidehovedTegn">
    <w:name w:val="Sidehoved Tegn"/>
    <w:basedOn w:val="Standardskrifttypeiafsnit"/>
    <w:link w:val="Sidehoved"/>
    <w:uiPriority w:val="99"/>
    <w:rsid w:val="008927C3"/>
  </w:style>
  <w:style w:type="paragraph" w:styleId="Sidefod">
    <w:name w:val="footer"/>
    <w:basedOn w:val="Normal"/>
    <w:link w:val="SidefodTegn"/>
    <w:uiPriority w:val="99"/>
    <w:unhideWhenUsed/>
    <w:rsid w:val="008927C3"/>
    <w:pPr>
      <w:tabs>
        <w:tab w:val="center" w:pos="4536"/>
        <w:tab w:val="right" w:pos="9072"/>
      </w:tabs>
    </w:pPr>
  </w:style>
  <w:style w:type="character" w:customStyle="1" w:styleId="SidefodTegn">
    <w:name w:val="Sidefod Tegn"/>
    <w:basedOn w:val="Standardskrifttypeiafsnit"/>
    <w:link w:val="Sidefod"/>
    <w:uiPriority w:val="99"/>
    <w:rsid w:val="008927C3"/>
  </w:style>
  <w:style w:type="character" w:styleId="Sidetal">
    <w:name w:val="page number"/>
    <w:basedOn w:val="Standardskrifttypeiafsnit"/>
    <w:uiPriority w:val="99"/>
    <w:semiHidden/>
    <w:unhideWhenUsed/>
    <w:rsid w:val="008927C3"/>
  </w:style>
  <w:style w:type="character" w:styleId="Kommentarhenvisning">
    <w:name w:val="annotation reference"/>
    <w:basedOn w:val="Standardskrifttypeiafsnit"/>
    <w:uiPriority w:val="99"/>
    <w:semiHidden/>
    <w:unhideWhenUsed/>
    <w:rsid w:val="008927C3"/>
    <w:rPr>
      <w:sz w:val="16"/>
      <w:szCs w:val="16"/>
    </w:rPr>
  </w:style>
  <w:style w:type="paragraph" w:styleId="Kommentartekst">
    <w:name w:val="annotation text"/>
    <w:basedOn w:val="Normal"/>
    <w:link w:val="KommentartekstTegn"/>
    <w:uiPriority w:val="99"/>
    <w:unhideWhenUsed/>
    <w:rsid w:val="008927C3"/>
    <w:rPr>
      <w:sz w:val="20"/>
      <w:szCs w:val="20"/>
    </w:rPr>
  </w:style>
  <w:style w:type="character" w:customStyle="1" w:styleId="KommentartekstTegn">
    <w:name w:val="Kommentartekst Tegn"/>
    <w:basedOn w:val="Standardskrifttypeiafsnit"/>
    <w:link w:val="Kommentartekst"/>
    <w:uiPriority w:val="99"/>
    <w:rsid w:val="008927C3"/>
    <w:rPr>
      <w:sz w:val="20"/>
      <w:szCs w:val="20"/>
    </w:rPr>
  </w:style>
  <w:style w:type="paragraph" w:styleId="Kommentaremne">
    <w:name w:val="annotation subject"/>
    <w:basedOn w:val="Kommentartekst"/>
    <w:next w:val="Kommentartekst"/>
    <w:link w:val="KommentaremneTegn"/>
    <w:uiPriority w:val="99"/>
    <w:semiHidden/>
    <w:unhideWhenUsed/>
    <w:rsid w:val="008927C3"/>
    <w:rPr>
      <w:b/>
      <w:bCs/>
    </w:rPr>
  </w:style>
  <w:style w:type="character" w:customStyle="1" w:styleId="KommentaremneTegn">
    <w:name w:val="Kommentaremne Tegn"/>
    <w:basedOn w:val="KommentartekstTegn"/>
    <w:link w:val="Kommentaremne"/>
    <w:uiPriority w:val="99"/>
    <w:semiHidden/>
    <w:rsid w:val="008927C3"/>
    <w:rPr>
      <w:b/>
      <w:bCs/>
      <w:sz w:val="20"/>
      <w:szCs w:val="20"/>
    </w:rPr>
  </w:style>
  <w:style w:type="paragraph" w:styleId="Markeringsbobletekst">
    <w:name w:val="Balloon Text"/>
    <w:basedOn w:val="Normal"/>
    <w:link w:val="MarkeringsbobletekstTegn"/>
    <w:uiPriority w:val="99"/>
    <w:semiHidden/>
    <w:unhideWhenUsed/>
    <w:rsid w:val="008927C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8927C3"/>
    <w:rPr>
      <w:rFonts w:ascii="Times New Roman" w:hAnsi="Times New Roman" w:cs="Times New Roman"/>
      <w:sz w:val="18"/>
      <w:szCs w:val="18"/>
    </w:rPr>
  </w:style>
  <w:style w:type="character" w:styleId="Fremhv">
    <w:name w:val="Emphasis"/>
    <w:basedOn w:val="Standardskrifttypeiafsnit"/>
    <w:uiPriority w:val="20"/>
    <w:qFormat/>
    <w:rsid w:val="00EA6F7E"/>
    <w:rPr>
      <w:i/>
      <w:iCs/>
    </w:rPr>
  </w:style>
  <w:style w:type="table" w:styleId="Gittertabel1-lys">
    <w:name w:val="Grid Table 1 Light"/>
    <w:basedOn w:val="Tabel-Normal"/>
    <w:uiPriority w:val="46"/>
    <w:rsid w:val="002C0DB7"/>
    <w:rPr>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k">
    <w:name w:val="Strong"/>
    <w:basedOn w:val="Standardskrifttypeiafsnit"/>
    <w:uiPriority w:val="22"/>
    <w:qFormat/>
    <w:rsid w:val="00884A6F"/>
    <w:rPr>
      <w:b/>
      <w:bCs/>
    </w:rPr>
  </w:style>
  <w:style w:type="table" w:styleId="Tabel-Gitter">
    <w:name w:val="Table Grid"/>
    <w:basedOn w:val="Tabel-Normal"/>
    <w:uiPriority w:val="39"/>
    <w:rsid w:val="00AF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5">
    <w:name w:val="Plain Table 5"/>
    <w:basedOn w:val="Tabel-Normal"/>
    <w:uiPriority w:val="45"/>
    <w:rsid w:val="001B27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rdskrifttypeiafsnit"/>
    <w:uiPriority w:val="99"/>
    <w:unhideWhenUsed/>
    <w:rsid w:val="002A4BA3"/>
    <w:rPr>
      <w:color w:val="0000FF"/>
      <w:u w:val="single"/>
    </w:rPr>
  </w:style>
  <w:style w:type="table" w:styleId="Almindeligtabel4">
    <w:name w:val="Plain Table 4"/>
    <w:basedOn w:val="Tabel-Normal"/>
    <w:uiPriority w:val="44"/>
    <w:rsid w:val="005679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1">
    <w:name w:val="Plain Table 1"/>
    <w:basedOn w:val="Tabel-Normal"/>
    <w:uiPriority w:val="41"/>
    <w:rsid w:val="005679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dnotetekst">
    <w:name w:val="footnote text"/>
    <w:basedOn w:val="Normal"/>
    <w:link w:val="FodnotetekstTegn"/>
    <w:uiPriority w:val="99"/>
    <w:semiHidden/>
    <w:unhideWhenUsed/>
    <w:rsid w:val="008C4907"/>
    <w:rPr>
      <w:sz w:val="20"/>
      <w:szCs w:val="20"/>
    </w:rPr>
  </w:style>
  <w:style w:type="character" w:customStyle="1" w:styleId="FodnotetekstTegn">
    <w:name w:val="Fodnotetekst Tegn"/>
    <w:basedOn w:val="Standardskrifttypeiafsnit"/>
    <w:link w:val="Fodnotetekst"/>
    <w:uiPriority w:val="99"/>
    <w:semiHidden/>
    <w:rsid w:val="008C4907"/>
    <w:rPr>
      <w:sz w:val="20"/>
      <w:szCs w:val="20"/>
    </w:rPr>
  </w:style>
  <w:style w:type="character" w:styleId="Fodnotehenvisning">
    <w:name w:val="footnote reference"/>
    <w:basedOn w:val="Standardskrifttypeiafsnit"/>
    <w:uiPriority w:val="99"/>
    <w:semiHidden/>
    <w:unhideWhenUsed/>
    <w:rsid w:val="008C4907"/>
    <w:rPr>
      <w:vertAlign w:val="superscript"/>
    </w:rPr>
  </w:style>
  <w:style w:type="paragraph" w:styleId="Korrektur">
    <w:name w:val="Revision"/>
    <w:hidden/>
    <w:uiPriority w:val="99"/>
    <w:semiHidden/>
    <w:rsid w:val="002C14AE"/>
  </w:style>
  <w:style w:type="character" w:styleId="Slutnotehenvisning">
    <w:name w:val="endnote reference"/>
    <w:basedOn w:val="Standardskrifttypeiafsnit"/>
    <w:uiPriority w:val="99"/>
    <w:semiHidden/>
    <w:unhideWhenUsed/>
    <w:rsid w:val="00AA3B89"/>
    <w:rPr>
      <w:vertAlign w:val="superscript"/>
    </w:rPr>
  </w:style>
  <w:style w:type="paragraph" w:styleId="Bibliografi">
    <w:name w:val="Bibliography"/>
    <w:basedOn w:val="Normal"/>
    <w:next w:val="Normal"/>
    <w:uiPriority w:val="37"/>
    <w:semiHidden/>
    <w:unhideWhenUsed/>
    <w:rsid w:val="0094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728">
      <w:bodyDiv w:val="1"/>
      <w:marLeft w:val="0"/>
      <w:marRight w:val="0"/>
      <w:marTop w:val="0"/>
      <w:marBottom w:val="0"/>
      <w:divBdr>
        <w:top w:val="none" w:sz="0" w:space="0" w:color="auto"/>
        <w:left w:val="none" w:sz="0" w:space="0" w:color="auto"/>
        <w:bottom w:val="none" w:sz="0" w:space="0" w:color="auto"/>
        <w:right w:val="none" w:sz="0" w:space="0" w:color="auto"/>
      </w:divBdr>
    </w:div>
    <w:div w:id="371266020">
      <w:bodyDiv w:val="1"/>
      <w:marLeft w:val="0"/>
      <w:marRight w:val="0"/>
      <w:marTop w:val="0"/>
      <w:marBottom w:val="0"/>
      <w:divBdr>
        <w:top w:val="none" w:sz="0" w:space="0" w:color="auto"/>
        <w:left w:val="none" w:sz="0" w:space="0" w:color="auto"/>
        <w:bottom w:val="none" w:sz="0" w:space="0" w:color="auto"/>
        <w:right w:val="none" w:sz="0" w:space="0" w:color="auto"/>
      </w:divBdr>
    </w:div>
    <w:div w:id="469791895">
      <w:bodyDiv w:val="1"/>
      <w:marLeft w:val="0"/>
      <w:marRight w:val="0"/>
      <w:marTop w:val="0"/>
      <w:marBottom w:val="0"/>
      <w:divBdr>
        <w:top w:val="none" w:sz="0" w:space="0" w:color="auto"/>
        <w:left w:val="none" w:sz="0" w:space="0" w:color="auto"/>
        <w:bottom w:val="none" w:sz="0" w:space="0" w:color="auto"/>
        <w:right w:val="none" w:sz="0" w:space="0" w:color="auto"/>
      </w:divBdr>
    </w:div>
    <w:div w:id="616837448">
      <w:bodyDiv w:val="1"/>
      <w:marLeft w:val="0"/>
      <w:marRight w:val="0"/>
      <w:marTop w:val="0"/>
      <w:marBottom w:val="0"/>
      <w:divBdr>
        <w:top w:val="none" w:sz="0" w:space="0" w:color="auto"/>
        <w:left w:val="none" w:sz="0" w:space="0" w:color="auto"/>
        <w:bottom w:val="none" w:sz="0" w:space="0" w:color="auto"/>
        <w:right w:val="none" w:sz="0" w:space="0" w:color="auto"/>
      </w:divBdr>
    </w:div>
    <w:div w:id="698164116">
      <w:bodyDiv w:val="1"/>
      <w:marLeft w:val="0"/>
      <w:marRight w:val="0"/>
      <w:marTop w:val="0"/>
      <w:marBottom w:val="0"/>
      <w:divBdr>
        <w:top w:val="none" w:sz="0" w:space="0" w:color="auto"/>
        <w:left w:val="none" w:sz="0" w:space="0" w:color="auto"/>
        <w:bottom w:val="none" w:sz="0" w:space="0" w:color="auto"/>
        <w:right w:val="none" w:sz="0" w:space="0" w:color="auto"/>
      </w:divBdr>
    </w:div>
    <w:div w:id="829636229">
      <w:bodyDiv w:val="1"/>
      <w:marLeft w:val="0"/>
      <w:marRight w:val="0"/>
      <w:marTop w:val="0"/>
      <w:marBottom w:val="0"/>
      <w:divBdr>
        <w:top w:val="none" w:sz="0" w:space="0" w:color="auto"/>
        <w:left w:val="none" w:sz="0" w:space="0" w:color="auto"/>
        <w:bottom w:val="none" w:sz="0" w:space="0" w:color="auto"/>
        <w:right w:val="none" w:sz="0" w:space="0" w:color="auto"/>
      </w:divBdr>
    </w:div>
    <w:div w:id="949170312">
      <w:bodyDiv w:val="1"/>
      <w:marLeft w:val="0"/>
      <w:marRight w:val="0"/>
      <w:marTop w:val="0"/>
      <w:marBottom w:val="0"/>
      <w:divBdr>
        <w:top w:val="none" w:sz="0" w:space="0" w:color="auto"/>
        <w:left w:val="none" w:sz="0" w:space="0" w:color="auto"/>
        <w:bottom w:val="none" w:sz="0" w:space="0" w:color="auto"/>
        <w:right w:val="none" w:sz="0" w:space="0" w:color="auto"/>
      </w:divBdr>
    </w:div>
    <w:div w:id="1016233962">
      <w:bodyDiv w:val="1"/>
      <w:marLeft w:val="0"/>
      <w:marRight w:val="0"/>
      <w:marTop w:val="0"/>
      <w:marBottom w:val="0"/>
      <w:divBdr>
        <w:top w:val="none" w:sz="0" w:space="0" w:color="auto"/>
        <w:left w:val="none" w:sz="0" w:space="0" w:color="auto"/>
        <w:bottom w:val="none" w:sz="0" w:space="0" w:color="auto"/>
        <w:right w:val="none" w:sz="0" w:space="0" w:color="auto"/>
      </w:divBdr>
    </w:div>
    <w:div w:id="1117598462">
      <w:bodyDiv w:val="1"/>
      <w:marLeft w:val="0"/>
      <w:marRight w:val="0"/>
      <w:marTop w:val="0"/>
      <w:marBottom w:val="0"/>
      <w:divBdr>
        <w:top w:val="none" w:sz="0" w:space="0" w:color="auto"/>
        <w:left w:val="none" w:sz="0" w:space="0" w:color="auto"/>
        <w:bottom w:val="none" w:sz="0" w:space="0" w:color="auto"/>
        <w:right w:val="none" w:sz="0" w:space="0" w:color="auto"/>
      </w:divBdr>
    </w:div>
    <w:div w:id="1571620532">
      <w:bodyDiv w:val="1"/>
      <w:marLeft w:val="0"/>
      <w:marRight w:val="0"/>
      <w:marTop w:val="0"/>
      <w:marBottom w:val="0"/>
      <w:divBdr>
        <w:top w:val="none" w:sz="0" w:space="0" w:color="auto"/>
        <w:left w:val="none" w:sz="0" w:space="0" w:color="auto"/>
        <w:bottom w:val="none" w:sz="0" w:space="0" w:color="auto"/>
        <w:right w:val="none" w:sz="0" w:space="0" w:color="auto"/>
      </w:divBdr>
    </w:div>
    <w:div w:id="1792354887">
      <w:bodyDiv w:val="1"/>
      <w:marLeft w:val="0"/>
      <w:marRight w:val="0"/>
      <w:marTop w:val="0"/>
      <w:marBottom w:val="0"/>
      <w:divBdr>
        <w:top w:val="none" w:sz="0" w:space="0" w:color="auto"/>
        <w:left w:val="none" w:sz="0" w:space="0" w:color="auto"/>
        <w:bottom w:val="none" w:sz="0" w:space="0" w:color="auto"/>
        <w:right w:val="none" w:sz="0" w:space="0" w:color="auto"/>
      </w:divBdr>
    </w:div>
    <w:div w:id="1842894714">
      <w:bodyDiv w:val="1"/>
      <w:marLeft w:val="0"/>
      <w:marRight w:val="0"/>
      <w:marTop w:val="0"/>
      <w:marBottom w:val="0"/>
      <w:divBdr>
        <w:top w:val="none" w:sz="0" w:space="0" w:color="auto"/>
        <w:left w:val="none" w:sz="0" w:space="0" w:color="auto"/>
        <w:bottom w:val="none" w:sz="0" w:space="0" w:color="auto"/>
        <w:right w:val="none" w:sz="0" w:space="0" w:color="auto"/>
      </w:divBdr>
    </w:div>
    <w:div w:id="20154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EB01-1714-492C-B74D-028E481F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6192</Words>
  <Characters>37775</Characters>
  <Application>Microsoft Office Word</Application>
  <DocSecurity>0</DocSecurity>
  <Lines>314</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Partheymüller</dc:creator>
  <cp:keywords/>
  <dc:description/>
  <cp:lastModifiedBy>Henrik Bech Seeberg</cp:lastModifiedBy>
  <cp:revision>10</cp:revision>
  <dcterms:created xsi:type="dcterms:W3CDTF">2019-09-20T07:37:00Z</dcterms:created>
  <dcterms:modified xsi:type="dcterms:W3CDTF">2019-12-26T11:09:00Z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id="kXcFvtV7"/&gt;&lt;style id="http://www.zotero.org/styles/west-european-politics" hasBibliography="1" bibliographyStyleHasBeenSet="0"/&gt;&lt;prefs&gt;&lt;pref name="fieldType" value="Field"/&gt;&lt;pref name="automaticJ</vt:lpwstr>
  </property>
  <property fmtid="{D5CDD505-2E9C-101B-9397-08002B2CF9AE}" pid="3" name="ZOTERO_PREF_2">
    <vt:lpwstr>ournalAbbreviations" value="true"/&gt;&lt;/prefs&gt;&lt;/data&gt;</vt:lpwstr>
  </property>
</Properties>
</file>