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71" w:rsidRPr="00CC3E19" w:rsidRDefault="00125CB9" w:rsidP="00CC3E19">
      <w:pPr>
        <w:jc w:val="center"/>
        <w:rPr>
          <w:rFonts w:cs="Times New Roman"/>
          <w:b/>
          <w:szCs w:val="24"/>
        </w:rPr>
      </w:pPr>
      <w:r>
        <w:rPr>
          <w:rFonts w:cs="Times New Roman"/>
          <w:b/>
          <w:szCs w:val="24"/>
        </w:rPr>
        <w:t>How s</w:t>
      </w:r>
      <w:r w:rsidR="00CE10EF">
        <w:rPr>
          <w:rFonts w:cs="Times New Roman"/>
          <w:b/>
          <w:szCs w:val="24"/>
        </w:rPr>
        <w:t xml:space="preserve">table is </w:t>
      </w:r>
      <w:r>
        <w:rPr>
          <w:rFonts w:cs="Times New Roman"/>
          <w:b/>
          <w:szCs w:val="24"/>
        </w:rPr>
        <w:t>p</w:t>
      </w:r>
      <w:r w:rsidR="00CE10EF">
        <w:rPr>
          <w:rFonts w:cs="Times New Roman"/>
          <w:b/>
          <w:szCs w:val="24"/>
        </w:rPr>
        <w:t xml:space="preserve">olitical </w:t>
      </w:r>
      <w:r>
        <w:rPr>
          <w:rFonts w:cs="Times New Roman"/>
          <w:b/>
          <w:szCs w:val="24"/>
        </w:rPr>
        <w:t>p</w:t>
      </w:r>
      <w:r w:rsidR="00CE10EF">
        <w:rPr>
          <w:rFonts w:cs="Times New Roman"/>
          <w:b/>
          <w:szCs w:val="24"/>
        </w:rPr>
        <w:t xml:space="preserve">arties’ </w:t>
      </w:r>
      <w:r>
        <w:rPr>
          <w:rFonts w:cs="Times New Roman"/>
          <w:b/>
          <w:szCs w:val="24"/>
        </w:rPr>
        <w:t>i</w:t>
      </w:r>
      <w:r w:rsidR="00CE10EF">
        <w:rPr>
          <w:rFonts w:cs="Times New Roman"/>
          <w:b/>
          <w:szCs w:val="24"/>
        </w:rPr>
        <w:t>ssue ownership?</w:t>
      </w:r>
      <w:r w:rsidR="00432F20">
        <w:rPr>
          <w:rFonts w:cs="Times New Roman"/>
          <w:b/>
          <w:szCs w:val="24"/>
        </w:rPr>
        <w:t xml:space="preserve"> </w:t>
      </w:r>
      <w:r w:rsidR="004D242C" w:rsidRPr="00CC3E19">
        <w:rPr>
          <w:rFonts w:cs="Times New Roman"/>
          <w:b/>
          <w:szCs w:val="24"/>
        </w:rPr>
        <w:t xml:space="preserve">A </w:t>
      </w:r>
      <w:r w:rsidR="00432F20">
        <w:rPr>
          <w:rFonts w:cs="Times New Roman"/>
          <w:b/>
          <w:szCs w:val="24"/>
        </w:rPr>
        <w:t>cross-time</w:t>
      </w:r>
      <w:r w:rsidR="00F70E6F">
        <w:rPr>
          <w:rFonts w:cs="Times New Roman"/>
          <w:b/>
          <w:szCs w:val="24"/>
        </w:rPr>
        <w:t>,</w:t>
      </w:r>
      <w:r w:rsidR="00432F20">
        <w:rPr>
          <w:rFonts w:cs="Times New Roman"/>
          <w:b/>
          <w:szCs w:val="24"/>
        </w:rPr>
        <w:t xml:space="preserve"> cross-national analysis</w:t>
      </w:r>
    </w:p>
    <w:p w:rsidR="00001724" w:rsidRDefault="00001724" w:rsidP="00CC3E19">
      <w:pPr>
        <w:jc w:val="center"/>
        <w:rPr>
          <w:rFonts w:cs="Times New Roman"/>
          <w:szCs w:val="24"/>
        </w:rPr>
      </w:pPr>
    </w:p>
    <w:p w:rsidR="006C6523" w:rsidRDefault="006C6523" w:rsidP="00CC3E19">
      <w:pPr>
        <w:jc w:val="center"/>
        <w:rPr>
          <w:rFonts w:cs="Times New Roman"/>
          <w:i/>
          <w:szCs w:val="24"/>
        </w:rPr>
      </w:pPr>
      <w:r w:rsidRPr="006C6523">
        <w:rPr>
          <w:rFonts w:cs="Times New Roman"/>
          <w:i/>
          <w:szCs w:val="24"/>
        </w:rPr>
        <w:t>Henrik Bech Seeberg</w:t>
      </w:r>
    </w:p>
    <w:p w:rsidR="00DA4373" w:rsidRPr="006C6523" w:rsidRDefault="00DA4373" w:rsidP="00CC3E19">
      <w:pPr>
        <w:jc w:val="center"/>
        <w:rPr>
          <w:rFonts w:cs="Times New Roman"/>
          <w:i/>
          <w:szCs w:val="24"/>
        </w:rPr>
      </w:pPr>
      <w:hyperlink r:id="rId7" w:history="1">
        <w:r w:rsidRPr="00AA5621">
          <w:rPr>
            <w:rStyle w:val="Hyperlink"/>
            <w:rFonts w:cs="Times New Roman"/>
            <w:i/>
            <w:szCs w:val="24"/>
          </w:rPr>
          <w:t>h.seeberg@ps.au.dk</w:t>
        </w:r>
      </w:hyperlink>
      <w:r>
        <w:rPr>
          <w:rFonts w:cs="Times New Roman"/>
          <w:i/>
          <w:szCs w:val="24"/>
        </w:rPr>
        <w:t xml:space="preserve"> </w:t>
      </w:r>
    </w:p>
    <w:p w:rsidR="00B2342C" w:rsidRDefault="006C6523" w:rsidP="00CC3E19">
      <w:pPr>
        <w:jc w:val="center"/>
        <w:rPr>
          <w:rFonts w:cs="Times New Roman"/>
          <w:i/>
          <w:szCs w:val="24"/>
        </w:rPr>
      </w:pPr>
      <w:r w:rsidRPr="006C6523">
        <w:rPr>
          <w:rFonts w:cs="Times New Roman"/>
          <w:i/>
          <w:szCs w:val="24"/>
        </w:rPr>
        <w:t>Aarhus University</w:t>
      </w:r>
    </w:p>
    <w:p w:rsidR="00DA4373" w:rsidRDefault="00DA4373" w:rsidP="00CC3E19">
      <w:pPr>
        <w:jc w:val="center"/>
        <w:rPr>
          <w:rFonts w:cs="Times New Roman"/>
          <w:i/>
          <w:szCs w:val="24"/>
        </w:rPr>
      </w:pPr>
    </w:p>
    <w:p w:rsidR="00DA4373" w:rsidRPr="006C6523" w:rsidRDefault="00DA4373" w:rsidP="00CC3E19">
      <w:pPr>
        <w:jc w:val="center"/>
        <w:rPr>
          <w:rFonts w:cs="Times New Roman"/>
          <w:i/>
          <w:szCs w:val="24"/>
        </w:rPr>
      </w:pPr>
      <w:r>
        <w:rPr>
          <w:rFonts w:cs="Times New Roman"/>
          <w:i/>
          <w:szCs w:val="24"/>
        </w:rPr>
        <w:t>Accepted for publication in Political Studies (March 2018)</w:t>
      </w:r>
      <w:bookmarkStart w:id="0" w:name="_GoBack"/>
      <w:bookmarkEnd w:id="0"/>
    </w:p>
    <w:p w:rsidR="006C6523" w:rsidRDefault="006C6523" w:rsidP="00CC3E19">
      <w:pPr>
        <w:rPr>
          <w:rFonts w:cs="Times New Roman"/>
          <w:b/>
          <w:szCs w:val="24"/>
        </w:rPr>
      </w:pPr>
    </w:p>
    <w:p w:rsidR="00232E4B" w:rsidRPr="00CC3E19" w:rsidRDefault="00232E4B" w:rsidP="00CC3E19">
      <w:pPr>
        <w:rPr>
          <w:rFonts w:cs="Times New Roman"/>
          <w:szCs w:val="24"/>
        </w:rPr>
      </w:pPr>
      <w:r w:rsidRPr="00CC3E19">
        <w:rPr>
          <w:rFonts w:cs="Times New Roman"/>
          <w:b/>
          <w:szCs w:val="24"/>
        </w:rPr>
        <w:t>Abstract</w:t>
      </w:r>
      <w:r w:rsidRPr="00CC3E19">
        <w:rPr>
          <w:rFonts w:cs="Times New Roman"/>
          <w:szCs w:val="24"/>
        </w:rPr>
        <w:t xml:space="preserve">. </w:t>
      </w:r>
      <w:r w:rsidR="002C03B0" w:rsidRPr="00CC3E19">
        <w:rPr>
          <w:rFonts w:cs="Times New Roman"/>
          <w:szCs w:val="24"/>
        </w:rPr>
        <w:t xml:space="preserve">Research on issue ownership is accelerating and so is its use in studies of voting and party behavior. Yet, we do not know </w:t>
      </w:r>
      <w:r w:rsidR="002C03B0">
        <w:rPr>
          <w:rFonts w:cs="Times New Roman"/>
          <w:szCs w:val="24"/>
        </w:rPr>
        <w:t>how stable</w:t>
      </w:r>
      <w:r w:rsidR="002C03B0" w:rsidRPr="00CC3E19">
        <w:rPr>
          <w:rFonts w:cs="Times New Roman"/>
          <w:szCs w:val="24"/>
        </w:rPr>
        <w:t xml:space="preserve"> issue ownership is. Does it describe a solid, persistent association between a party and an issue in the eyes of the electorate, or does it describe a more fluid and fragile issue reputation of a party among the electorate</w:t>
      </w:r>
      <w:r w:rsidR="002C03B0">
        <w:rPr>
          <w:rFonts w:cs="Times New Roman"/>
          <w:szCs w:val="24"/>
        </w:rPr>
        <w:t>?</w:t>
      </w:r>
      <w:r w:rsidR="002C03B0" w:rsidRPr="00CC3E19">
        <w:rPr>
          <w:rFonts w:cs="Times New Roman"/>
          <w:szCs w:val="24"/>
        </w:rPr>
        <w:t xml:space="preserve"> </w:t>
      </w:r>
      <w:r w:rsidR="002C03B0">
        <w:rPr>
          <w:rFonts w:cs="Times New Roman"/>
          <w:szCs w:val="24"/>
        </w:rPr>
        <w:t>As a legacy from the seminal work of Petrocik (1996), theoretical and empirical work suggest both stability and variability in issue ownership.</w:t>
      </w:r>
      <w:r w:rsidR="002C03B0" w:rsidRPr="00CC3E19">
        <w:rPr>
          <w:rFonts w:cs="Times New Roman"/>
          <w:szCs w:val="24"/>
        </w:rPr>
        <w:t xml:space="preserve"> To </w:t>
      </w:r>
      <w:r w:rsidR="002C03B0">
        <w:rPr>
          <w:rFonts w:cs="Times New Roman"/>
          <w:szCs w:val="24"/>
        </w:rPr>
        <w:t>get closer to an answer</w:t>
      </w:r>
      <w:r w:rsidR="002C03B0" w:rsidRPr="00CC3E19">
        <w:rPr>
          <w:rFonts w:cs="Times New Roman"/>
          <w:szCs w:val="24"/>
        </w:rPr>
        <w:t xml:space="preserve">, this article presents </w:t>
      </w:r>
      <w:r w:rsidR="002C03B0">
        <w:rPr>
          <w:rFonts w:cs="Times New Roman"/>
          <w:szCs w:val="24"/>
        </w:rPr>
        <w:t xml:space="preserve">and analyzes </w:t>
      </w:r>
      <w:r w:rsidR="002C03B0" w:rsidRPr="00CC3E19">
        <w:rPr>
          <w:rFonts w:cs="Times New Roman"/>
          <w:szCs w:val="24"/>
        </w:rPr>
        <w:t xml:space="preserve">unprecedented comprehensive data </w:t>
      </w:r>
      <w:r w:rsidR="002C03B0">
        <w:rPr>
          <w:rFonts w:cs="Times New Roman"/>
          <w:szCs w:val="24"/>
        </w:rPr>
        <w:t>on</w:t>
      </w:r>
      <w:r w:rsidR="002C03B0" w:rsidRPr="00CC3E19">
        <w:rPr>
          <w:rFonts w:cs="Times New Roman"/>
          <w:szCs w:val="24"/>
        </w:rPr>
        <w:t xml:space="preserve"> issue ownership. </w:t>
      </w:r>
      <w:r w:rsidR="002C03B0">
        <w:rPr>
          <w:rFonts w:cs="Times New Roman"/>
          <w:szCs w:val="24"/>
        </w:rPr>
        <w:t>The analysis identifies s</w:t>
      </w:r>
      <w:r w:rsidR="002C03B0" w:rsidRPr="00CC3E19">
        <w:rPr>
          <w:rFonts w:cs="Times New Roman"/>
          <w:szCs w:val="24"/>
        </w:rPr>
        <w:t xml:space="preserve">tability rather </w:t>
      </w:r>
      <w:r w:rsidR="002C03B0">
        <w:rPr>
          <w:rFonts w:cs="Times New Roman"/>
          <w:szCs w:val="24"/>
        </w:rPr>
        <w:t xml:space="preserve">than change in issue ownership over time and similarity more than difference across countries and therefore suggests that issue ownership is a general and long-term rather than a local and short-term phenomenon. </w:t>
      </w:r>
      <w:r w:rsidR="002C03B0" w:rsidRPr="00CC3E19">
        <w:rPr>
          <w:rFonts w:cs="Times New Roman"/>
          <w:szCs w:val="24"/>
        </w:rPr>
        <w:t>The implications for how voters</w:t>
      </w:r>
      <w:r w:rsidR="002C03B0">
        <w:rPr>
          <w:rFonts w:cs="Times New Roman"/>
          <w:szCs w:val="24"/>
        </w:rPr>
        <w:t xml:space="preserve"> perceive parties are important</w:t>
      </w:r>
      <w:r w:rsidR="00513DA0" w:rsidRPr="00CC3E19">
        <w:rPr>
          <w:rFonts w:cs="Times New Roman"/>
          <w:szCs w:val="24"/>
        </w:rPr>
        <w:t>.</w:t>
      </w:r>
    </w:p>
    <w:p w:rsidR="00232E4B" w:rsidRPr="00CC3E19" w:rsidRDefault="00232E4B" w:rsidP="00CC3E19">
      <w:pPr>
        <w:jc w:val="both"/>
        <w:rPr>
          <w:rFonts w:cs="Times New Roman"/>
          <w:szCs w:val="24"/>
        </w:rPr>
      </w:pPr>
    </w:p>
    <w:p w:rsidR="00B2342C" w:rsidRPr="00CC3E19" w:rsidRDefault="00B2342C" w:rsidP="00CC3E19">
      <w:pPr>
        <w:rPr>
          <w:rFonts w:cs="Times New Roman"/>
          <w:szCs w:val="24"/>
        </w:rPr>
      </w:pPr>
      <w:r w:rsidRPr="00CC3E19">
        <w:rPr>
          <w:rFonts w:cs="Times New Roman"/>
          <w:b/>
          <w:szCs w:val="24"/>
        </w:rPr>
        <w:t>Key words</w:t>
      </w:r>
      <w:r w:rsidRPr="00CC3E19">
        <w:rPr>
          <w:rFonts w:cs="Times New Roman"/>
          <w:szCs w:val="24"/>
        </w:rPr>
        <w:t>: issue ownership, parties, voters</w:t>
      </w:r>
      <w:r w:rsidR="00A710E9" w:rsidRPr="00CC3E19">
        <w:rPr>
          <w:rFonts w:cs="Times New Roman"/>
          <w:szCs w:val="24"/>
        </w:rPr>
        <w:t>, comparative analysis</w:t>
      </w:r>
      <w:r w:rsidRPr="00CC3E19">
        <w:rPr>
          <w:rFonts w:cs="Times New Roman"/>
          <w:szCs w:val="24"/>
        </w:rPr>
        <w:t>.</w:t>
      </w:r>
    </w:p>
    <w:p w:rsidR="00550DB2" w:rsidRDefault="00550DB2">
      <w:pPr>
        <w:spacing w:after="200" w:line="276" w:lineRule="auto"/>
        <w:rPr>
          <w:rFonts w:cs="Times New Roman"/>
          <w:szCs w:val="24"/>
        </w:rPr>
      </w:pPr>
      <w:r>
        <w:rPr>
          <w:rFonts w:cs="Times New Roman"/>
          <w:szCs w:val="24"/>
        </w:rPr>
        <w:br w:type="page"/>
      </w:r>
    </w:p>
    <w:p w:rsidR="00FE40E5" w:rsidRDefault="00FE40E5" w:rsidP="00FE40E5">
      <w:pPr>
        <w:rPr>
          <w:rFonts w:cs="Times New Roman"/>
          <w:szCs w:val="24"/>
        </w:rPr>
      </w:pPr>
      <w:r w:rsidRPr="00CC3E19">
        <w:rPr>
          <w:rFonts w:cs="Times New Roman"/>
          <w:szCs w:val="24"/>
        </w:rPr>
        <w:lastRenderedPageBreak/>
        <w:t xml:space="preserve">Research on issue ownership is a growth industry </w:t>
      </w:r>
      <w:r w:rsidRPr="00CC3E19">
        <w:rPr>
          <w:rFonts w:cs="Times New Roman"/>
          <w:szCs w:val="24"/>
        </w:rPr>
        <w:fldChar w:fldCharType="begin"/>
      </w:r>
      <w:r w:rsidRPr="00CC3E19">
        <w:rPr>
          <w:rFonts w:cs="Times New Roman"/>
          <w:szCs w:val="24"/>
        </w:rPr>
        <w:instrText xml:space="preserve"> ADDIN ZOTERO_ITEM CSL_CITATION {"citationID":"ymkezMdz","properties":{"formattedCitation":"(Lefevere, Tresch, and Walgrave 2015)","plainCitation":"(Lefevere, Tresch, and Walgrave 2015)"},"citationItems":[{"id":940,"uris":["http://zotero.org/users/local/7eX6MhG9/items/W2EGDK4V"],"uri":["http://zotero.org/users/local/7eX6MhG9/items/W2EGDK4V"],"itemData":{"id":940,"type":"article-journal","title":"Introduction: Issue Ownership","container-title":"West European Politics","page":"755-760","volume":"38","issue":"4","source":"Taylor and Francis+NEJM","abstract":"Although issue ownership theory – the idea that voters consider specific parties to be better able to deal with some issues – had already emerged in the 1980s, it is only in the past 10 years that the theory has gained prominence in the study of voter and party behaviour. Despite the steep increase in scholarly attention, there is still no consensus regarding the impact of issue ownership on parties and voters. This special issue makes two key contributions: firstly, it provides state of the art contemporary issue ownership research, by focusing on the historical roots as well on recent conceptual, theoretical and methodological developments in the field. Secondly, by focusing on new aspects and effects of issue ownership, the special issue offers a look forward and outlines a research agenda for future work on issue ownership.","ISSN":"0140-2382","shortTitle":"Introduction","author":[{"family":"Lefevere","given":"Jonas"},{"family":"Tresch","given":"Anke"},{"family":"Walgrave","given":"Stefaan"}],"issued":{"date-parts":[["2015",7,4]]}}}],"schema":"https://github.com/citation-style-language/schema/raw/master/csl-citation.json"} </w:instrText>
      </w:r>
      <w:r w:rsidRPr="00CC3E19">
        <w:rPr>
          <w:rFonts w:cs="Times New Roman"/>
          <w:szCs w:val="24"/>
        </w:rPr>
        <w:fldChar w:fldCharType="separate"/>
      </w:r>
      <w:r w:rsidRPr="00CC3E19">
        <w:rPr>
          <w:rFonts w:cs="Times New Roman"/>
          <w:szCs w:val="24"/>
        </w:rPr>
        <w:t>(Lefevere, Tresch, and Walgrave 2015)</w:t>
      </w:r>
      <w:r w:rsidRPr="00CC3E19">
        <w:rPr>
          <w:rFonts w:cs="Times New Roman"/>
          <w:szCs w:val="24"/>
        </w:rPr>
        <w:fldChar w:fldCharType="end"/>
      </w:r>
      <w:r w:rsidR="005C40D8">
        <w:rPr>
          <w:rFonts w:cs="Times New Roman"/>
          <w:szCs w:val="24"/>
        </w:rPr>
        <w:t>. Yet</w:t>
      </w:r>
      <w:r w:rsidRPr="00CC3E19">
        <w:rPr>
          <w:rFonts w:cs="Times New Roman"/>
          <w:szCs w:val="24"/>
        </w:rPr>
        <w:t xml:space="preserve">, </w:t>
      </w:r>
      <w:r w:rsidR="0076568F">
        <w:rPr>
          <w:rFonts w:cs="Times New Roman"/>
          <w:szCs w:val="24"/>
        </w:rPr>
        <w:t xml:space="preserve">advancement in the understanding and use of issue ownership is </w:t>
      </w:r>
      <w:r>
        <w:rPr>
          <w:rFonts w:cs="Times New Roman"/>
          <w:szCs w:val="24"/>
        </w:rPr>
        <w:t xml:space="preserve">impeded by a lack of systematic knowledge on </w:t>
      </w:r>
      <w:r w:rsidR="0076568F">
        <w:rPr>
          <w:rFonts w:cs="Times New Roman"/>
          <w:szCs w:val="24"/>
        </w:rPr>
        <w:t xml:space="preserve">its </w:t>
      </w:r>
      <w:r>
        <w:rPr>
          <w:rFonts w:cs="Times New Roman"/>
          <w:szCs w:val="24"/>
        </w:rPr>
        <w:t>stability and variability</w:t>
      </w:r>
      <w:r w:rsidRPr="00CC3E19">
        <w:rPr>
          <w:rFonts w:cs="Times New Roman"/>
          <w:szCs w:val="24"/>
        </w:rPr>
        <w:t xml:space="preserve">. Is it a </w:t>
      </w:r>
      <w:r w:rsidR="00A95AF5">
        <w:rPr>
          <w:rFonts w:cs="Times New Roman"/>
          <w:szCs w:val="24"/>
        </w:rPr>
        <w:t xml:space="preserve">general and </w:t>
      </w:r>
      <w:r w:rsidRPr="00CC3E19">
        <w:rPr>
          <w:rFonts w:cs="Times New Roman"/>
          <w:szCs w:val="24"/>
        </w:rPr>
        <w:t xml:space="preserve">long-term phenomenon describing a solid and persistent association between a party and an issue in the eyes of the electorate ensured by a party’s long-held link to a certain position and constituency on an issue? Or is it a </w:t>
      </w:r>
      <w:r w:rsidR="00A95AF5">
        <w:rPr>
          <w:rFonts w:cs="Times New Roman"/>
          <w:szCs w:val="24"/>
        </w:rPr>
        <w:t>context-dependent</w:t>
      </w:r>
      <w:r w:rsidR="00BB592B">
        <w:rPr>
          <w:rFonts w:cs="Times New Roman"/>
          <w:szCs w:val="24"/>
        </w:rPr>
        <w:t>,</w:t>
      </w:r>
      <w:r w:rsidR="00A95AF5">
        <w:rPr>
          <w:rFonts w:cs="Times New Roman"/>
          <w:szCs w:val="24"/>
        </w:rPr>
        <w:t xml:space="preserve"> </w:t>
      </w:r>
      <w:r w:rsidRPr="00CC3E19">
        <w:rPr>
          <w:rFonts w:cs="Times New Roman"/>
          <w:szCs w:val="24"/>
        </w:rPr>
        <w:t xml:space="preserve">short-term phenomenon describing a fluctuating and hard-to-uphold reputation of a party on an issue decided by the current performance on the issue? </w:t>
      </w:r>
    </w:p>
    <w:p w:rsidR="001474DD" w:rsidRDefault="0076568F" w:rsidP="0076568F">
      <w:pPr>
        <w:ind w:firstLine="567"/>
        <w:rPr>
          <w:rFonts w:cs="Times New Roman"/>
          <w:szCs w:val="24"/>
        </w:rPr>
      </w:pPr>
      <w:r>
        <w:rPr>
          <w:rFonts w:cs="Times New Roman"/>
          <w:szCs w:val="24"/>
        </w:rPr>
        <w:t>Knowledge on</w:t>
      </w:r>
      <w:r w:rsidR="00290282">
        <w:rPr>
          <w:rFonts w:cs="Times New Roman"/>
          <w:szCs w:val="24"/>
        </w:rPr>
        <w:t xml:space="preserve"> t</w:t>
      </w:r>
      <w:r w:rsidR="00BE46CA">
        <w:rPr>
          <w:rFonts w:cs="Times New Roman"/>
          <w:szCs w:val="24"/>
        </w:rPr>
        <w:t xml:space="preserve">he stability </w:t>
      </w:r>
      <w:r w:rsidR="00A95AF5">
        <w:rPr>
          <w:rFonts w:cs="Times New Roman"/>
          <w:szCs w:val="24"/>
        </w:rPr>
        <w:t xml:space="preserve">over time </w:t>
      </w:r>
      <w:r w:rsidR="00BE46CA">
        <w:rPr>
          <w:rFonts w:cs="Times New Roman"/>
          <w:szCs w:val="24"/>
        </w:rPr>
        <w:t xml:space="preserve">of issue ownership </w:t>
      </w:r>
      <w:r w:rsidR="00A95AF5">
        <w:rPr>
          <w:rFonts w:cs="Times New Roman"/>
          <w:szCs w:val="24"/>
        </w:rPr>
        <w:t xml:space="preserve">and its similarity across countries </w:t>
      </w:r>
      <w:r w:rsidR="006B5FFB">
        <w:rPr>
          <w:rFonts w:cs="Times New Roman"/>
          <w:szCs w:val="24"/>
        </w:rPr>
        <w:t xml:space="preserve">is important </w:t>
      </w:r>
      <w:r w:rsidR="00BE46CA">
        <w:rPr>
          <w:rFonts w:cs="Times New Roman"/>
          <w:szCs w:val="24"/>
        </w:rPr>
        <w:t xml:space="preserve">because it has major implications for our understanding of parties and voters. </w:t>
      </w:r>
      <w:r w:rsidR="00412B64" w:rsidRPr="00CC3E19">
        <w:rPr>
          <w:rFonts w:cs="Times New Roman"/>
          <w:szCs w:val="24"/>
        </w:rPr>
        <w:t>If issue ownership is a product of day-to-day politics, it may just be another word for framing</w:t>
      </w:r>
      <w:r w:rsidR="00814B07">
        <w:rPr>
          <w:rFonts w:cs="Times New Roman"/>
          <w:szCs w:val="24"/>
        </w:rPr>
        <w:t>-effects</w:t>
      </w:r>
      <w:r w:rsidR="00412B64" w:rsidRPr="00CC3E19">
        <w:rPr>
          <w:rFonts w:cs="Times New Roman"/>
          <w:szCs w:val="24"/>
        </w:rPr>
        <w:t xml:space="preserve"> or political communication – </w:t>
      </w:r>
      <w:r w:rsidR="00814B07">
        <w:rPr>
          <w:rFonts w:cs="Times New Roman"/>
          <w:szCs w:val="24"/>
        </w:rPr>
        <w:t xml:space="preserve">issue ownership is </w:t>
      </w:r>
      <w:r w:rsidR="00412B64" w:rsidRPr="00CC3E19">
        <w:rPr>
          <w:rFonts w:cs="Times New Roman"/>
          <w:szCs w:val="24"/>
        </w:rPr>
        <w:t>something amenable in the minds of voters</w:t>
      </w:r>
      <w:r w:rsidR="00814B07">
        <w:rPr>
          <w:rFonts w:cs="Times New Roman"/>
          <w:szCs w:val="24"/>
        </w:rPr>
        <w:t xml:space="preserve"> </w:t>
      </w:r>
      <w:r w:rsidR="00E22172">
        <w:rPr>
          <w:rFonts w:cs="Times New Roman"/>
          <w:szCs w:val="24"/>
        </w:rPr>
        <w:t xml:space="preserve">that </w:t>
      </w:r>
      <w:r w:rsidR="00814B07">
        <w:rPr>
          <w:rFonts w:cs="Times New Roman"/>
          <w:szCs w:val="24"/>
        </w:rPr>
        <w:t xml:space="preserve">is constantly </w:t>
      </w:r>
      <w:r w:rsidR="00E22172">
        <w:rPr>
          <w:rFonts w:cs="Times New Roman"/>
          <w:szCs w:val="24"/>
        </w:rPr>
        <w:t>formed and reformed by current messages from the part</w:t>
      </w:r>
      <w:r w:rsidR="00910E3A">
        <w:rPr>
          <w:rFonts w:cs="Times New Roman"/>
          <w:szCs w:val="24"/>
        </w:rPr>
        <w:t>ies</w:t>
      </w:r>
      <w:r w:rsidR="0078549C" w:rsidRPr="00CC3E19">
        <w:rPr>
          <w:rFonts w:cs="Times New Roman"/>
          <w:szCs w:val="24"/>
        </w:rPr>
        <w:t xml:space="preserve">. </w:t>
      </w:r>
      <w:r w:rsidR="008C005F" w:rsidRPr="00CC3E19">
        <w:rPr>
          <w:rFonts w:cs="Times New Roman"/>
          <w:szCs w:val="24"/>
        </w:rPr>
        <w:t xml:space="preserve">Issue ownership </w:t>
      </w:r>
      <w:r w:rsidR="003F56C1" w:rsidRPr="00CC3E19">
        <w:rPr>
          <w:rFonts w:cs="Times New Roman"/>
          <w:szCs w:val="24"/>
        </w:rPr>
        <w:t>becomes</w:t>
      </w:r>
      <w:r w:rsidR="008C005F" w:rsidRPr="00CC3E19">
        <w:rPr>
          <w:rFonts w:cs="Times New Roman"/>
          <w:szCs w:val="24"/>
        </w:rPr>
        <w:t xml:space="preserve"> s</w:t>
      </w:r>
      <w:r w:rsidR="007E2AE7" w:rsidRPr="00CC3E19">
        <w:rPr>
          <w:rFonts w:cs="Times New Roman"/>
          <w:szCs w:val="24"/>
        </w:rPr>
        <w:t>omething that</w:t>
      </w:r>
      <w:r w:rsidR="008C005F" w:rsidRPr="00CC3E19">
        <w:rPr>
          <w:rFonts w:cs="Times New Roman"/>
          <w:szCs w:val="24"/>
        </w:rPr>
        <w:t xml:space="preserve"> can explain single events but </w:t>
      </w:r>
      <w:r w:rsidR="007E2AE7" w:rsidRPr="00CC3E19">
        <w:rPr>
          <w:rFonts w:cs="Times New Roman"/>
          <w:szCs w:val="24"/>
        </w:rPr>
        <w:t xml:space="preserve">does not travel beyond its </w:t>
      </w:r>
      <w:r w:rsidR="008C005F" w:rsidRPr="00CC3E19">
        <w:rPr>
          <w:rFonts w:cs="Times New Roman"/>
          <w:szCs w:val="24"/>
        </w:rPr>
        <w:t>immediate</w:t>
      </w:r>
      <w:r w:rsidR="007E2AE7" w:rsidRPr="00CC3E19">
        <w:rPr>
          <w:rFonts w:cs="Times New Roman"/>
          <w:szCs w:val="24"/>
        </w:rPr>
        <w:t xml:space="preserve"> context. </w:t>
      </w:r>
      <w:r w:rsidR="009C4202" w:rsidRPr="00CC3E19">
        <w:rPr>
          <w:rFonts w:cs="Times New Roman"/>
          <w:szCs w:val="24"/>
        </w:rPr>
        <w:t>For instance, a</w:t>
      </w:r>
      <w:r w:rsidR="008C005F" w:rsidRPr="00CC3E19">
        <w:rPr>
          <w:rFonts w:cs="Times New Roman"/>
          <w:szCs w:val="24"/>
        </w:rPr>
        <w:t xml:space="preserve">ccounts of recent elections in Britain have centered </w:t>
      </w:r>
      <w:r w:rsidR="003F56C1" w:rsidRPr="00CC3E19">
        <w:rPr>
          <w:rFonts w:cs="Times New Roman"/>
          <w:szCs w:val="24"/>
        </w:rPr>
        <w:t xml:space="preserve">closely </w:t>
      </w:r>
      <w:r w:rsidR="008C005F" w:rsidRPr="00CC3E19">
        <w:rPr>
          <w:rFonts w:cs="Times New Roman"/>
          <w:szCs w:val="24"/>
        </w:rPr>
        <w:t xml:space="preserve">on the party best able to portray itself as </w:t>
      </w:r>
      <w:r w:rsidR="00963B14" w:rsidRPr="00CC3E19">
        <w:rPr>
          <w:rFonts w:cs="Times New Roman"/>
          <w:szCs w:val="24"/>
        </w:rPr>
        <w:t xml:space="preserve">currently most </w:t>
      </w:r>
      <w:r w:rsidR="008C005F" w:rsidRPr="00CC3E19">
        <w:rPr>
          <w:rFonts w:cs="Times New Roman"/>
          <w:szCs w:val="24"/>
        </w:rPr>
        <w:t xml:space="preserve">competent in managing the economy </w:t>
      </w:r>
      <w:r w:rsidR="008C005F" w:rsidRPr="00CC3E19">
        <w:rPr>
          <w:rFonts w:cs="Times New Roman"/>
          <w:szCs w:val="24"/>
        </w:rPr>
        <w:fldChar w:fldCharType="begin"/>
      </w:r>
      <w:r w:rsidR="00C700AC" w:rsidRPr="00CC3E19">
        <w:rPr>
          <w:rFonts w:cs="Times New Roman"/>
          <w:szCs w:val="24"/>
        </w:rPr>
        <w:instrText xml:space="preserve"> ADDIN ZOTERO_ITEM CSL_CITATION {"citationID":"oynguxwy","properties":{"formattedCitation":"(Clarke et al. 2009; Whiteley et al. 2013)","plainCitation":"(Clarke et al. 2009; Whiteley et al. 2013)"},"citationItems":[{"id":104,"uris":["http://zotero.org/users/local/7eX6MhG9/items/M6SA6Z9E"],"uri":["http://zotero.org/users/local/7eX6MhG9/items/M6SA6Z9E"],"itemData":{"id":104,"type":"book","title":"Performance Politics and the British Voter","publisher":"Cambridge University Press","publisher-place":"Cambridge","event-place":"Cambridge","author":[{"family":"Clarke","given":"Harold"},{"family":"Sanders","given":"David"},{"family":"Stewart","given":"Marianne"},{"family":"Whiteley","given":"Paul"}],"issued":{"date-parts":[["2009"]]}}},{"id":419,"uris":["http://zotero.org/users/local/7eX6MhG9/items/E5TXSF9I"],"uri":["http://zotero.org/users/local/7eX6MhG9/items/E5TXSF9I"],"itemData":{"id":419,"type":"book","title":"Affluence, Austerity and Electoral Change in Britain","publisher":"Cambridge University Press","source":"Google Scholar","author":[{"family":"Whiteley","given":"Paul"},{"family":"Clarke","given":"Harold"},{"family":"Sanders","given":"David"},{"family":"Stewart","given":"Marianne"}],"issued":{"date-parts":[["2013"]]},"accessed":{"date-parts":[["2014",8,12]]}}}],"schema":"https://github.com/citation-style-language/schema/raw/master/csl-citation.json"} </w:instrText>
      </w:r>
      <w:r w:rsidR="008C005F" w:rsidRPr="00CC3E19">
        <w:rPr>
          <w:rFonts w:cs="Times New Roman"/>
          <w:szCs w:val="24"/>
        </w:rPr>
        <w:fldChar w:fldCharType="separate"/>
      </w:r>
      <w:r w:rsidR="005E3E73" w:rsidRPr="00CC3E19">
        <w:rPr>
          <w:rFonts w:cs="Times New Roman"/>
          <w:szCs w:val="24"/>
        </w:rPr>
        <w:t>(Clarke et al. 2009; Whiteley et al. 2013)</w:t>
      </w:r>
      <w:r w:rsidR="008C005F" w:rsidRPr="00CC3E19">
        <w:rPr>
          <w:rFonts w:cs="Times New Roman"/>
          <w:szCs w:val="24"/>
        </w:rPr>
        <w:fldChar w:fldCharType="end"/>
      </w:r>
      <w:r w:rsidR="008C005F" w:rsidRPr="00CC3E19">
        <w:rPr>
          <w:rFonts w:cs="Times New Roman"/>
          <w:szCs w:val="24"/>
        </w:rPr>
        <w:t xml:space="preserve">. </w:t>
      </w:r>
    </w:p>
    <w:p w:rsidR="005E3E73" w:rsidRPr="00CC3E19" w:rsidRDefault="00412B64" w:rsidP="00BE46CA">
      <w:pPr>
        <w:ind w:firstLine="567"/>
        <w:rPr>
          <w:rFonts w:cs="Times New Roman"/>
          <w:szCs w:val="24"/>
        </w:rPr>
      </w:pPr>
      <w:r w:rsidRPr="00CC3E19">
        <w:rPr>
          <w:rFonts w:cs="Times New Roman"/>
          <w:szCs w:val="24"/>
        </w:rPr>
        <w:t xml:space="preserve">If issue ownership instead </w:t>
      </w:r>
      <w:r w:rsidR="00B42339" w:rsidRPr="00CC3E19">
        <w:rPr>
          <w:rFonts w:cs="Times New Roman"/>
          <w:szCs w:val="24"/>
        </w:rPr>
        <w:t>appears as</w:t>
      </w:r>
      <w:r w:rsidRPr="00CC3E19">
        <w:rPr>
          <w:rFonts w:cs="Times New Roman"/>
          <w:szCs w:val="24"/>
        </w:rPr>
        <w:t xml:space="preserve"> </w:t>
      </w:r>
      <w:r w:rsidR="004B30AF" w:rsidRPr="00CC3E19">
        <w:rPr>
          <w:rFonts w:cs="Times New Roman"/>
          <w:szCs w:val="24"/>
        </w:rPr>
        <w:t>a permanent factor</w:t>
      </w:r>
      <w:r w:rsidRPr="00CC3E19">
        <w:rPr>
          <w:rFonts w:cs="Times New Roman"/>
          <w:szCs w:val="24"/>
        </w:rPr>
        <w:t xml:space="preserve"> from election to election, it expresses something </w:t>
      </w:r>
      <w:r w:rsidR="00B42339" w:rsidRPr="00CC3E19">
        <w:rPr>
          <w:rFonts w:cs="Times New Roman"/>
          <w:szCs w:val="24"/>
        </w:rPr>
        <w:t xml:space="preserve">more </w:t>
      </w:r>
      <w:r w:rsidRPr="00CC3E19">
        <w:rPr>
          <w:rFonts w:cs="Times New Roman"/>
          <w:szCs w:val="24"/>
        </w:rPr>
        <w:t>fundamental</w:t>
      </w:r>
      <w:r w:rsidR="00851240" w:rsidRPr="00CC3E19">
        <w:rPr>
          <w:rFonts w:cs="Times New Roman"/>
          <w:szCs w:val="24"/>
        </w:rPr>
        <w:t xml:space="preserve"> </w:t>
      </w:r>
      <w:r w:rsidRPr="00CC3E19">
        <w:rPr>
          <w:rFonts w:cs="Times New Roman"/>
          <w:szCs w:val="24"/>
        </w:rPr>
        <w:t>about how voters perceive parties equivalent to the role of ideolog</w:t>
      </w:r>
      <w:r w:rsidR="00851240" w:rsidRPr="00CC3E19">
        <w:rPr>
          <w:rFonts w:cs="Times New Roman"/>
          <w:szCs w:val="24"/>
        </w:rPr>
        <w:t>y</w:t>
      </w:r>
      <w:r w:rsidRPr="00CC3E19">
        <w:rPr>
          <w:rFonts w:cs="Times New Roman"/>
          <w:szCs w:val="24"/>
        </w:rPr>
        <w:t>.</w:t>
      </w:r>
      <w:r w:rsidR="007E2AE7" w:rsidRPr="00CC3E19">
        <w:rPr>
          <w:rFonts w:cs="Times New Roman"/>
          <w:szCs w:val="24"/>
        </w:rPr>
        <w:t xml:space="preserve"> </w:t>
      </w:r>
      <w:r w:rsidR="00594C98" w:rsidRPr="00CC3E19">
        <w:rPr>
          <w:rFonts w:cs="Times New Roman"/>
          <w:szCs w:val="24"/>
        </w:rPr>
        <w:t xml:space="preserve">Issue ownership means something: </w:t>
      </w:r>
      <w:r w:rsidR="0005591B" w:rsidRPr="00CC3E19">
        <w:rPr>
          <w:rFonts w:cs="Times New Roman"/>
          <w:szCs w:val="24"/>
        </w:rPr>
        <w:t>E</w:t>
      </w:r>
      <w:r w:rsidR="00594C98" w:rsidRPr="00CC3E19">
        <w:rPr>
          <w:rFonts w:cs="Times New Roman"/>
          <w:szCs w:val="24"/>
        </w:rPr>
        <w:t>ven if a voter identifies with a party and agrees with its opinions, she may still prefer another party to take care of a certain issue.</w:t>
      </w:r>
      <w:r w:rsidR="00963B14" w:rsidRPr="00CC3E19">
        <w:rPr>
          <w:rFonts w:cs="Times New Roman"/>
          <w:szCs w:val="24"/>
        </w:rPr>
        <w:t xml:space="preserve"> She may even vote for this party if this issue becomes important to her.</w:t>
      </w:r>
      <w:r w:rsidR="00594C98" w:rsidRPr="00CC3E19">
        <w:rPr>
          <w:rFonts w:cs="Times New Roman"/>
          <w:szCs w:val="24"/>
        </w:rPr>
        <w:t xml:space="preserve"> </w:t>
      </w:r>
      <w:r w:rsidR="00EA2F1D" w:rsidRPr="00CC3E19">
        <w:rPr>
          <w:rFonts w:cs="Times New Roman"/>
          <w:szCs w:val="24"/>
        </w:rPr>
        <w:t xml:space="preserve">Obama’s mobilization on the traditional democratic issues of health and unemployment </w:t>
      </w:r>
      <w:r w:rsidR="0005591B" w:rsidRPr="00CC3E19">
        <w:rPr>
          <w:rFonts w:cs="Times New Roman"/>
          <w:szCs w:val="24"/>
        </w:rPr>
        <w:t xml:space="preserve">thus </w:t>
      </w:r>
      <w:r w:rsidR="00EA2F1D" w:rsidRPr="00CC3E19">
        <w:rPr>
          <w:rFonts w:cs="Times New Roman"/>
          <w:szCs w:val="24"/>
        </w:rPr>
        <w:t>features as a key ingredient in his 2008</w:t>
      </w:r>
      <w:r w:rsidR="0005591B" w:rsidRPr="00CC3E19">
        <w:rPr>
          <w:rFonts w:cs="Times New Roman"/>
          <w:szCs w:val="24"/>
        </w:rPr>
        <w:t xml:space="preserve"> </w:t>
      </w:r>
      <w:r w:rsidR="00EA2F1D" w:rsidRPr="00CC3E19">
        <w:rPr>
          <w:rFonts w:cs="Times New Roman"/>
          <w:szCs w:val="24"/>
        </w:rPr>
        <w:t xml:space="preserve">victory </w:t>
      </w:r>
      <w:r w:rsidR="00EA2F1D" w:rsidRPr="00CC3E19">
        <w:rPr>
          <w:rFonts w:cs="Times New Roman"/>
          <w:szCs w:val="24"/>
        </w:rPr>
        <w:fldChar w:fldCharType="begin"/>
      </w:r>
      <w:r w:rsidR="00C700AC" w:rsidRPr="00CC3E19">
        <w:rPr>
          <w:rFonts w:cs="Times New Roman"/>
          <w:szCs w:val="24"/>
        </w:rPr>
        <w:instrText xml:space="preserve"> ADDIN ZOTERO_ITEM CSL_CITATION {"citationID":"eCZs2s0d","properties":{"formattedCitation":"(Wright 2012)","plainCitation":"(Wright 2012)"},"citationItems":[{"id":322,"uris":["http://zotero.org/users/local/7eX6MhG9/items/T4BM732T"],"uri":["http://zotero.org/users/local/7eX6MhG9/items/T4BM732T"],"itemData":{"id":322,"type":"article-journal","title":"Unemployment and the Democratic Electoral Advantage","container-title":"American Political Science Review","page":"685–702","volume":"106","issue":"4","author":[{"family":"Wright","given":"John"}],"issued":{"date-parts":[["2012"]]}}}],"schema":"https://github.com/citation-style-language/schema/raw/master/csl-citation.json"} </w:instrText>
      </w:r>
      <w:r w:rsidR="00EA2F1D" w:rsidRPr="00CC3E19">
        <w:rPr>
          <w:rFonts w:cs="Times New Roman"/>
          <w:szCs w:val="24"/>
        </w:rPr>
        <w:fldChar w:fldCharType="separate"/>
      </w:r>
      <w:r w:rsidR="00EA2F1D" w:rsidRPr="00CC3E19">
        <w:rPr>
          <w:rFonts w:cs="Times New Roman"/>
          <w:szCs w:val="24"/>
        </w:rPr>
        <w:t>(Wright 2012)</w:t>
      </w:r>
      <w:r w:rsidR="00EA2F1D" w:rsidRPr="00CC3E19">
        <w:rPr>
          <w:rFonts w:cs="Times New Roman"/>
          <w:szCs w:val="24"/>
        </w:rPr>
        <w:fldChar w:fldCharType="end"/>
      </w:r>
      <w:r w:rsidR="00EA2F1D" w:rsidRPr="00CC3E19">
        <w:rPr>
          <w:rFonts w:cs="Times New Roman"/>
          <w:szCs w:val="24"/>
        </w:rPr>
        <w:t xml:space="preserve">. </w:t>
      </w:r>
      <w:r w:rsidR="00594C98" w:rsidRPr="00CC3E19">
        <w:rPr>
          <w:rFonts w:cs="Times New Roman"/>
          <w:szCs w:val="24"/>
        </w:rPr>
        <w:t>In this scenario</w:t>
      </w:r>
      <w:r w:rsidR="005E3E73" w:rsidRPr="00CC3E19">
        <w:rPr>
          <w:rFonts w:cs="Times New Roman"/>
          <w:szCs w:val="24"/>
        </w:rPr>
        <w:t xml:space="preserve">, </w:t>
      </w:r>
      <w:r w:rsidR="00594C98" w:rsidRPr="00CC3E19">
        <w:rPr>
          <w:rFonts w:cs="Times New Roman"/>
          <w:szCs w:val="24"/>
        </w:rPr>
        <w:t>parties can take advantage of issue ownership to connect to voters, but will also be constrained by issue ownership in the sense that strategies have to be put together around issue ownership. I</w:t>
      </w:r>
      <w:r w:rsidR="005E3E73" w:rsidRPr="00CC3E19">
        <w:rPr>
          <w:rFonts w:cs="Times New Roman"/>
          <w:szCs w:val="24"/>
        </w:rPr>
        <w:t>t is a basic structure for party competition which</w:t>
      </w:r>
      <w:r w:rsidR="00594C98" w:rsidRPr="00CC3E19">
        <w:rPr>
          <w:rFonts w:cs="Times New Roman"/>
          <w:szCs w:val="24"/>
        </w:rPr>
        <w:t xml:space="preserve"> </w:t>
      </w:r>
      <w:r w:rsidR="005E3E73" w:rsidRPr="00CC3E19">
        <w:rPr>
          <w:rFonts w:cs="Times New Roman"/>
          <w:szCs w:val="24"/>
        </w:rPr>
        <w:t xml:space="preserve">reflects historic political conflicts, though cleavages and class-politics may be long gone. </w:t>
      </w:r>
    </w:p>
    <w:p w:rsidR="001474DD" w:rsidRPr="00CC3E19" w:rsidRDefault="007262EF" w:rsidP="001474DD">
      <w:pPr>
        <w:ind w:firstLine="567"/>
        <w:rPr>
          <w:rFonts w:cs="Times New Roman"/>
          <w:szCs w:val="24"/>
        </w:rPr>
      </w:pPr>
      <w:r>
        <w:rPr>
          <w:rFonts w:cs="Times New Roman"/>
          <w:szCs w:val="24"/>
        </w:rPr>
        <w:t>Existing</w:t>
      </w:r>
      <w:r w:rsidR="001474DD">
        <w:rPr>
          <w:rFonts w:cs="Times New Roman"/>
          <w:szCs w:val="24"/>
        </w:rPr>
        <w:t xml:space="preserve"> work suggests both stability and change in issue ownership. The </w:t>
      </w:r>
      <w:r w:rsidR="001474DD" w:rsidRPr="00CC3E19">
        <w:rPr>
          <w:rFonts w:cs="Times New Roman"/>
          <w:szCs w:val="24"/>
        </w:rPr>
        <w:t xml:space="preserve">seminal </w:t>
      </w:r>
      <w:r w:rsidR="001474DD">
        <w:rPr>
          <w:rFonts w:cs="Times New Roman"/>
          <w:szCs w:val="24"/>
        </w:rPr>
        <w:t>work by</w:t>
      </w:r>
      <w:r w:rsidR="001474DD" w:rsidRPr="00CC3E19">
        <w:rPr>
          <w:rFonts w:cs="Times New Roman"/>
          <w:szCs w:val="24"/>
        </w:rPr>
        <w:t xml:space="preserve"> Petrocik </w:t>
      </w:r>
      <w:r w:rsidR="001474DD" w:rsidRPr="00CC3E19">
        <w:rPr>
          <w:rFonts w:cs="Times New Roman"/>
          <w:szCs w:val="24"/>
        </w:rPr>
        <w:fldChar w:fldCharType="begin"/>
      </w:r>
      <w:r w:rsidR="001474DD" w:rsidRPr="00CC3E19">
        <w:rPr>
          <w:rFonts w:cs="Times New Roman"/>
          <w:szCs w:val="24"/>
        </w:rPr>
        <w:instrText xml:space="preserve"> ADDIN ZOTERO_ITEM CSL_CITATION {"citationID":"AN0N81Bj","properties":{"formattedCitation":"(1996)","plainCitation":"(1996)"},"citationItems":[{"id":53,"uris":["http://zotero.org/users/local/7eX6MhG9/items/ENS4WF74"],"uri":["http://zotero.org/users/local/7eX6MhG9/items/ENS4WF74"],"itemData":{"id":53,"type":"article-journal","title":"Issue Ownership in Presidential Elections, with a 1980 Case Study","container-title":"American Journal of Political Science","page":"825–50","volume":"40","issue":"3","author":[{"family":"Petrocik","given":"John"}],"issued":{"date-parts":[["1996"]]}},"suppress-author":true}],"schema":"https://github.com/citation-style-language/schema/raw/master/csl-citation.json"} </w:instrText>
      </w:r>
      <w:r w:rsidR="001474DD" w:rsidRPr="00CC3E19">
        <w:rPr>
          <w:rFonts w:cs="Times New Roman"/>
          <w:szCs w:val="24"/>
        </w:rPr>
        <w:fldChar w:fldCharType="separate"/>
      </w:r>
      <w:r w:rsidR="001474DD" w:rsidRPr="00CC3E19">
        <w:rPr>
          <w:rFonts w:cs="Times New Roman"/>
          <w:szCs w:val="24"/>
        </w:rPr>
        <w:t>(1996)</w:t>
      </w:r>
      <w:r w:rsidR="001474DD" w:rsidRPr="00CC3E19">
        <w:rPr>
          <w:rFonts w:cs="Times New Roman"/>
          <w:szCs w:val="24"/>
        </w:rPr>
        <w:fldChar w:fldCharType="end"/>
      </w:r>
      <w:r w:rsidR="001474DD" w:rsidRPr="00CC3E19">
        <w:rPr>
          <w:rFonts w:cs="Times New Roman"/>
          <w:szCs w:val="24"/>
        </w:rPr>
        <w:t xml:space="preserve"> introduces </w:t>
      </w:r>
      <w:r w:rsidR="001474DD">
        <w:rPr>
          <w:rFonts w:cs="Times New Roman"/>
          <w:szCs w:val="24"/>
        </w:rPr>
        <w:t>issue ownership</w:t>
      </w:r>
      <w:r w:rsidR="001474DD" w:rsidRPr="00CC3E19">
        <w:rPr>
          <w:rFonts w:cs="Times New Roman"/>
          <w:szCs w:val="24"/>
        </w:rPr>
        <w:t xml:space="preserve"> in </w:t>
      </w:r>
      <w:r w:rsidR="001474DD">
        <w:rPr>
          <w:rFonts w:cs="Times New Roman"/>
          <w:szCs w:val="24"/>
        </w:rPr>
        <w:t xml:space="preserve">a </w:t>
      </w:r>
      <w:r w:rsidR="001474DD" w:rsidRPr="00CC3E19">
        <w:rPr>
          <w:rFonts w:cs="Times New Roman"/>
          <w:szCs w:val="24"/>
        </w:rPr>
        <w:t xml:space="preserve">short-term and </w:t>
      </w:r>
      <w:r w:rsidR="001474DD">
        <w:rPr>
          <w:rFonts w:cs="Times New Roman"/>
          <w:szCs w:val="24"/>
        </w:rPr>
        <w:t xml:space="preserve">a </w:t>
      </w:r>
      <w:r w:rsidR="001474DD" w:rsidRPr="00CC3E19">
        <w:rPr>
          <w:rFonts w:cs="Times New Roman"/>
          <w:szCs w:val="24"/>
        </w:rPr>
        <w:t>long-term version</w:t>
      </w:r>
      <w:r w:rsidR="000C1ADF">
        <w:rPr>
          <w:rFonts w:cs="Times New Roman"/>
          <w:szCs w:val="24"/>
        </w:rPr>
        <w:t>, and s</w:t>
      </w:r>
      <w:r w:rsidR="001474DD">
        <w:rPr>
          <w:rFonts w:cs="Times New Roman"/>
          <w:szCs w:val="24"/>
        </w:rPr>
        <w:t xml:space="preserve">ubsequent work has only shown modest interest in </w:t>
      </w:r>
      <w:r>
        <w:rPr>
          <w:rFonts w:cs="Times New Roman"/>
          <w:szCs w:val="24"/>
        </w:rPr>
        <w:t xml:space="preserve">clarifying </w:t>
      </w:r>
      <w:r w:rsidR="001474DD">
        <w:rPr>
          <w:rFonts w:cs="Times New Roman"/>
          <w:szCs w:val="24"/>
        </w:rPr>
        <w:t xml:space="preserve">the </w:t>
      </w:r>
      <w:r w:rsidR="00FF2079">
        <w:rPr>
          <w:rFonts w:cs="Times New Roman"/>
          <w:szCs w:val="24"/>
        </w:rPr>
        <w:t xml:space="preserve">uncertain </w:t>
      </w:r>
      <w:r>
        <w:rPr>
          <w:rFonts w:cs="Times New Roman"/>
          <w:szCs w:val="24"/>
        </w:rPr>
        <w:t xml:space="preserve">degree of </w:t>
      </w:r>
      <w:r w:rsidR="001474DD">
        <w:rPr>
          <w:rFonts w:cs="Times New Roman"/>
          <w:szCs w:val="24"/>
        </w:rPr>
        <w:t xml:space="preserve">stability </w:t>
      </w:r>
      <w:r>
        <w:rPr>
          <w:rFonts w:cs="Times New Roman"/>
          <w:szCs w:val="24"/>
        </w:rPr>
        <w:t xml:space="preserve">and change in </w:t>
      </w:r>
      <w:r w:rsidR="001474DD">
        <w:rPr>
          <w:rFonts w:cs="Times New Roman"/>
          <w:szCs w:val="24"/>
        </w:rPr>
        <w:t>issue ownership</w:t>
      </w:r>
      <w:r>
        <w:rPr>
          <w:rFonts w:cs="Times New Roman"/>
          <w:szCs w:val="24"/>
        </w:rPr>
        <w:t xml:space="preserve"> </w:t>
      </w:r>
      <w:r w:rsidR="00FF2079">
        <w:rPr>
          <w:rFonts w:cs="Times New Roman"/>
          <w:szCs w:val="24"/>
        </w:rPr>
        <w:t xml:space="preserve">that stems from his work </w:t>
      </w:r>
      <w:r>
        <w:rPr>
          <w:rFonts w:cs="Times New Roman"/>
          <w:szCs w:val="24"/>
        </w:rPr>
        <w:t xml:space="preserve">despite its </w:t>
      </w:r>
      <w:r w:rsidRPr="00CC3E19">
        <w:rPr>
          <w:rFonts w:cs="Times New Roman"/>
          <w:szCs w:val="24"/>
        </w:rPr>
        <w:t xml:space="preserve">enthusiastic </w:t>
      </w:r>
      <w:r>
        <w:rPr>
          <w:rFonts w:cs="Times New Roman"/>
          <w:szCs w:val="24"/>
        </w:rPr>
        <w:t>use of</w:t>
      </w:r>
      <w:r w:rsidRPr="00CC3E19">
        <w:rPr>
          <w:rFonts w:cs="Times New Roman"/>
          <w:szCs w:val="24"/>
        </w:rPr>
        <w:t xml:space="preserve"> </w:t>
      </w:r>
      <w:r>
        <w:rPr>
          <w:rFonts w:cs="Times New Roman"/>
          <w:szCs w:val="24"/>
        </w:rPr>
        <w:t>issue ownership</w:t>
      </w:r>
      <w:r w:rsidRPr="00CC3E19">
        <w:rPr>
          <w:rFonts w:cs="Times New Roman"/>
          <w:szCs w:val="24"/>
        </w:rPr>
        <w:t xml:space="preserve"> </w:t>
      </w:r>
      <w:r>
        <w:rPr>
          <w:rFonts w:cs="Times New Roman"/>
          <w:szCs w:val="24"/>
        </w:rPr>
        <w:t xml:space="preserve">to understand parties and voters </w:t>
      </w:r>
      <w:r w:rsidR="001474DD">
        <w:rPr>
          <w:rFonts w:cs="Times New Roman"/>
          <w:szCs w:val="24"/>
        </w:rPr>
        <w:t xml:space="preserve"> </w:t>
      </w:r>
      <w:r w:rsidR="001474DD" w:rsidRPr="00CC3E19">
        <w:rPr>
          <w:rFonts w:cs="Times New Roman"/>
          <w:szCs w:val="24"/>
        </w:rPr>
        <w:fldChar w:fldCharType="begin"/>
      </w:r>
      <w:r w:rsidR="001474DD" w:rsidRPr="00CC3E19">
        <w:rPr>
          <w:rFonts w:cs="Times New Roman"/>
          <w:szCs w:val="24"/>
        </w:rPr>
        <w:instrText xml:space="preserve"> ADDIN ZOTERO_ITEM CSL_CITATION {"citationID":"gCvihZqu","properties":{"formattedCitation":"(S. Walgrave, Lefevere, and Tresch 2012; 2015)","plainCitation":"(S. Walgrave, Lefevere, and Tresch 2012; 2015)","dontUpdate":true},"citationItems":[{"id":260,"uris":["http://zotero.org/users/local/7eX6MhG9/items/STUDEUN2"],"uri":["http://zotero.org/users/local/7eX6MhG9/items/STUDEUN2"],"itemData":{"id":260,"type":"article-journal","title":"The Associative Dimension of Issue Ownership","container-title":"Public Opinion Quarterly","page":"771–782","volume":"76","issue":"4","author":[{"family":"Walgrave","given":"Stefaan"},{"family":"Lefevere","given":"Jonas"},{"family":"Tresch","given":"Anke"}],"issued":{"date-parts":[["2012"]]}}},{"id":934,"uris":["http://zotero.org/users/local/7eX6MhG9/items/3HNT367I"],"uri":["http://zotero.org/users/local/7eX6MhG9/items/3HNT367I"],"itemData":{"id":934,"type":"article-journal","title":"The Conceptualisation and Measurement of Issue Ownership","container-title":"West European Politics","page":"778-796","volume":"38","issue":"4","source":"Taylor and Francis+NEJM","abstract":"Issue ownership means that some parties are considered by the public at large as being more able to deal with, or more attentive to, certain issues. The theory has been used to explain both party behaviour – parties are expected to focus on owned issues – and voter behaviour – when a voter considers a party to own an issue, this affects the odds of voting for that party. The purpose of this article is, first, to provide a look backward at the existing research through a literature review of the studies that were conducted in the past decade-and-a-half. Secondly, it takes stock of the current conceptualisation and argues that issue ownership is a multidimensional concept. Thereafter the article discusses how this multidimensionality affects both the role of issue ownership in voter and in party behaviour. Finally, the article outlines a number of shortcomings of the extant literature and discusses potential avenues for future research.","ISSN":"0140-2382","author":[{"family":"Walgrave","given":"Stefaan"},{"family":"Tresch","given":"Anke"},{"family":"Lefevere","given":"Jonas"}],"issued":{"date-parts":[["2015",7,4]]}},"suppress-author":true}],"schema":"https://github.com/citation-style-language/schema/raw/master/csl-citation.json"} </w:instrText>
      </w:r>
      <w:r w:rsidR="001474DD" w:rsidRPr="00CC3E19">
        <w:rPr>
          <w:rFonts w:cs="Times New Roman"/>
          <w:szCs w:val="24"/>
        </w:rPr>
        <w:fldChar w:fldCharType="separate"/>
      </w:r>
      <w:r w:rsidR="001474DD" w:rsidRPr="00CC3E19">
        <w:rPr>
          <w:rFonts w:cs="Times New Roman"/>
          <w:szCs w:val="24"/>
        </w:rPr>
        <w:t>(Walgrave, Lefevere, and Tresch 2012; Walgrave, Tresch, and Lefevere 2015)</w:t>
      </w:r>
      <w:r w:rsidR="001474DD" w:rsidRPr="00CC3E19">
        <w:rPr>
          <w:rFonts w:cs="Times New Roman"/>
          <w:szCs w:val="24"/>
        </w:rPr>
        <w:fldChar w:fldCharType="end"/>
      </w:r>
      <w:r w:rsidR="001474DD" w:rsidRPr="00CC3E19">
        <w:rPr>
          <w:rFonts w:cs="Times New Roman"/>
          <w:szCs w:val="24"/>
        </w:rPr>
        <w:t xml:space="preserve">. </w:t>
      </w:r>
      <w:r w:rsidR="003B0DE1">
        <w:rPr>
          <w:rFonts w:cs="Times New Roman"/>
          <w:szCs w:val="24"/>
        </w:rPr>
        <w:t>By</w:t>
      </w:r>
      <w:r w:rsidR="001474DD" w:rsidRPr="00CC3E19">
        <w:rPr>
          <w:rFonts w:cs="Times New Roman"/>
          <w:szCs w:val="24"/>
        </w:rPr>
        <w:t xml:space="preserve"> either us</w:t>
      </w:r>
      <w:r w:rsidR="003B0DE1">
        <w:rPr>
          <w:rFonts w:cs="Times New Roman"/>
          <w:szCs w:val="24"/>
        </w:rPr>
        <w:t>ing</w:t>
      </w:r>
      <w:r w:rsidR="001474DD" w:rsidRPr="00CC3E19">
        <w:rPr>
          <w:rFonts w:cs="Times New Roman"/>
          <w:szCs w:val="24"/>
        </w:rPr>
        <w:t xml:space="preserve"> issue ownership as a constant to understand voting and party behavior </w:t>
      </w:r>
      <w:r w:rsidR="001474DD" w:rsidRPr="00CC3E19">
        <w:rPr>
          <w:rFonts w:cs="Times New Roman"/>
          <w:szCs w:val="24"/>
        </w:rPr>
        <w:fldChar w:fldCharType="begin"/>
      </w:r>
      <w:r w:rsidR="00C32EE3">
        <w:rPr>
          <w:rFonts w:cs="Times New Roman"/>
          <w:szCs w:val="24"/>
        </w:rPr>
        <w:instrText xml:space="preserve"> ADDIN ZOTERO_ITEM CSL_CITATION {"citationID":"8etwEfMs","properties":{"formattedCitation":"(e.g. Meguid and Belanger 2008; Dolezal et al. 2013)","plainCitation":"(e.g. Meguid and Belanger 2008; Dolezal et al. 2013)"},"citationItems":[{"id":283,"uris":["http://zotero.org/users/local/7eX6MhG9/items/DFVFUZMP"],"uri":["http://zotero.org/users/local/7eX6MhG9/items/DFVFUZMP"],"itemData":{"id":283,"type":"article-journal","title":"Issue salience, issue ownership and issue-based vote choice","container-title":"Electoral Studies","page":"477–491","volume":"27","issue":"3","author":[{"family":"Meguid","given":"Bonnie"},{"family":"Belanger","given":"Eric"}],"issued":{"date-parts":[["2008"]]}},"prefix":"e.g. "},{"id":297,"uris":["http://zotero.org/users/local/7eX6MhG9/items/X4MCCXGX"],"uri":["http://zotero.org/users/local/7eX6MhG9/items/X4MCCXGX"],"itemData":{"id":297,"type":"article-journal","title":"How parties compete for votes: A test of saliency theory","container-title":"European Journal of Political Research","page":"57-76","volume":"53","issue":"1","author":[{"family":"Dolezal","given":"Martin"},{"family":"Ensser-Jedenastik","given":"Laurenz"},{"family":"Muller","given":"Wolfgang"},{"family":"Winkler","given":"Anna"}],"issued":{"date-parts":[["2013"]]}}}],"schema":"https://github.com/citation-style-language/schema/raw/master/csl-citation.json"} </w:instrText>
      </w:r>
      <w:r w:rsidR="001474DD" w:rsidRPr="00CC3E19">
        <w:rPr>
          <w:rFonts w:cs="Times New Roman"/>
          <w:szCs w:val="24"/>
        </w:rPr>
        <w:fldChar w:fldCharType="separate"/>
      </w:r>
      <w:r w:rsidR="001474DD" w:rsidRPr="00CC3E19">
        <w:rPr>
          <w:rFonts w:cs="Times New Roman"/>
          <w:szCs w:val="24"/>
        </w:rPr>
        <w:t>(e.g. Meguid and Belanger 2008; Dolezal et al. 2013)</w:t>
      </w:r>
      <w:r w:rsidR="001474DD" w:rsidRPr="00CC3E19">
        <w:rPr>
          <w:rFonts w:cs="Times New Roman"/>
          <w:szCs w:val="24"/>
        </w:rPr>
        <w:fldChar w:fldCharType="end"/>
      </w:r>
      <w:r w:rsidR="001474DD" w:rsidRPr="00CC3E19">
        <w:rPr>
          <w:rFonts w:cs="Times New Roman"/>
          <w:szCs w:val="24"/>
        </w:rPr>
        <w:t xml:space="preserve"> or investigat</w:t>
      </w:r>
      <w:r w:rsidR="003B0DE1">
        <w:rPr>
          <w:rFonts w:cs="Times New Roman"/>
          <w:szCs w:val="24"/>
        </w:rPr>
        <w:t>ing</w:t>
      </w:r>
      <w:r w:rsidR="001474DD" w:rsidRPr="00CC3E19">
        <w:rPr>
          <w:rFonts w:cs="Times New Roman"/>
          <w:szCs w:val="24"/>
        </w:rPr>
        <w:t xml:space="preserve"> how issue ownership erodes or is overtaken </w:t>
      </w:r>
      <w:r w:rsidR="001474DD" w:rsidRPr="00CC3E19">
        <w:rPr>
          <w:rFonts w:cs="Times New Roman"/>
          <w:szCs w:val="24"/>
        </w:rPr>
        <w:fldChar w:fldCharType="begin"/>
      </w:r>
      <w:r w:rsidR="001474DD" w:rsidRPr="00CC3E19">
        <w:rPr>
          <w:rFonts w:cs="Times New Roman"/>
          <w:szCs w:val="24"/>
        </w:rPr>
        <w:instrText xml:space="preserve"> ADDIN ZOTERO_ITEM CSL_CITATION {"citationID":"M0v0OaLJ","properties":{"formattedCitation":"(e.g. D. Holian 2004; Tresch, Lefevere, and Walgrave 2012; Dahlberg and Martinsson 2015; Brasher 2009; Belanger 2003)","plainCitation":"(e.g. D. Holian 2004; Tresch, Lefevere, and Walgrave 2012; Dahlberg and Martinsson 2015; Brasher 2009; Belanger 2003)","dontUpdate":true},"citationItems":[{"id":160,"uris":["http://zotero.org/users/local/7eX6MhG9/items/H2U4AZ7S"],"uri":["http://zotero.org/users/local/7eX6MhG9/items/H2U4AZ7S"],"itemData":{"id":160,"type":"article-journal","title":"He's stealing my issues! Clinton's crime rhetoric and the dynamics of issue ownership","container-title":"Political Behavior","page":"95–124","volume":"26","issue":"2","author":[{"family":"Holian","given":"David"}],"issued":{"date-parts":[["2004"]]}},"prefix":"e.g. "},{"id":249,"uris":["http://zotero.org/users/local/7eX6MhG9/items/VIAG67NI"],"uri":["http://zotero.org/users/local/7eX6MhG9/items/VIAG67NI"],"itemData":{"id":249,"type":"article-journal","title":"Steal me if you can! The impact of campaign messages on associative issue ownership'","container-title":"Party Politics","volume":"30","author":[{"family":"Tresch","given":"Anke"},{"family":"Lefevere","given":"Jonas"},{"family":"Walgrave","given":"Stefaan"}],"issued":{"date-parts":[["2012"]]}}},{"id":932,"uris":["http://zotero.org/users/local/7eX6MhG9/items/TQ9JVMX8"],"uri":["http://zotero.org/users/local/7eX6MhG9/items/TQ9JVMX8"],"itemData":{"id":932,"type":"article-journal","title":"Changing Issue Ownership through Policy Communication","container-title":"West European Politics","page":"817-838","volume":"38","issue":"4","source":"Taylor and Francis+NEJM","abstract":"Issue ownership has been an important concept in the analysis of party competition for several decades. Traditionally, issue ownership has been regarded as a stable phenomenon where parties are advantaged by different political issues. However, several recent studies have reported change in voters’ perceptions of parties’ issue ownership. To investigate the changeability of issue ownership and how it can be altered, this article investigates the impact of parties’ communication attempts through a web-based survey in Sweden. Two major political issues are in focus: employment and healthcare. The results show that parties can indeed improve their ownership by communicating on an issue. Indications were also found that the effects decrease as other parties simultaneously communicate on the same issue, and when those who receive the messages are ideologically distant from the party. However, in several cases results are weak. Many important conditionalities therefore remain to be explored in future studies.","ISSN":"0140-2382","author":[{"family":"Dahlberg","given":"Stefan"},{"family":"Martinsson","given":"Johan"}],"issued":{"date-parts":[["2015",7,4]]}}},{"id":99,"uris":["http://zotero.org/users/local/7eX6MhG9/items/SJVKRC92"],"uri":["http://zotero.org/users/local/7eX6MhG9/items/SJVKRC92"],"itemData":{"id":99,"type":"article-journal","title":"The Dynamic Character of Political Party Evaluations","container-title":"Party Politics","page":"69–92","volume":"15","issue":"1","author":[{"family":"Brasher","given":"Holly"}],"issued":{"date-parts":[["2009"]]}}},{"id":13,"uris":["http://zotero.org/users/local/7eX6MhG9/items/82C68TH9"],"uri":["http://zotero.org/users/local/7eX6MhG9/items/82C68TH9"],"itemData":{"id":13,"type":"article-journal","title":"”Issue Ownership by Canadian Political Parties 1953-2001”","container-title":"Canadian Journal of Political Science","page":"539–558","volume":"36","issue":"3","author":[{"family":"Belanger","given":"Eric"}],"issued":{"date-parts":[["2003"]]}}}],"schema":"https://github.com/citation-style-language/schema/raw/master/csl-citation.json"} </w:instrText>
      </w:r>
      <w:r w:rsidR="001474DD" w:rsidRPr="00CC3E19">
        <w:rPr>
          <w:rFonts w:cs="Times New Roman"/>
          <w:szCs w:val="24"/>
        </w:rPr>
        <w:fldChar w:fldCharType="separate"/>
      </w:r>
      <w:r w:rsidR="001474DD" w:rsidRPr="00CC3E19">
        <w:rPr>
          <w:rFonts w:cs="Times New Roman"/>
          <w:szCs w:val="24"/>
        </w:rPr>
        <w:t>(e.g. Holian 2004; Tresch, Lefevere, and Walgrave 2012; Dahlberg and Martinsson 2015; Brasher 2009; Belanger 2003)</w:t>
      </w:r>
      <w:r w:rsidR="001474DD" w:rsidRPr="00CC3E19">
        <w:rPr>
          <w:rFonts w:cs="Times New Roman"/>
          <w:szCs w:val="24"/>
        </w:rPr>
        <w:fldChar w:fldCharType="end"/>
      </w:r>
      <w:r w:rsidR="001474DD" w:rsidRPr="00CC3E19">
        <w:rPr>
          <w:rFonts w:cs="Times New Roman"/>
          <w:szCs w:val="24"/>
        </w:rPr>
        <w:t xml:space="preserve">, </w:t>
      </w:r>
      <w:r w:rsidR="003B0DE1">
        <w:rPr>
          <w:rFonts w:cs="Times New Roman"/>
          <w:szCs w:val="24"/>
        </w:rPr>
        <w:t xml:space="preserve">empirical work </w:t>
      </w:r>
      <w:r w:rsidR="001474DD" w:rsidRPr="00CC3E19">
        <w:rPr>
          <w:rFonts w:cs="Times New Roman"/>
          <w:szCs w:val="24"/>
        </w:rPr>
        <w:t>emphasize</w:t>
      </w:r>
      <w:r w:rsidR="003B0DE1">
        <w:rPr>
          <w:rFonts w:cs="Times New Roman"/>
          <w:szCs w:val="24"/>
        </w:rPr>
        <w:t>s</w:t>
      </w:r>
      <w:r w:rsidR="001474DD" w:rsidRPr="00CC3E19">
        <w:rPr>
          <w:rFonts w:cs="Times New Roman"/>
          <w:szCs w:val="24"/>
        </w:rPr>
        <w:t xml:space="preserve"> stability as much as instability</w:t>
      </w:r>
      <w:r w:rsidR="003B0DE1">
        <w:rPr>
          <w:rFonts w:cs="Times New Roman"/>
          <w:szCs w:val="24"/>
        </w:rPr>
        <w:t xml:space="preserve"> in issue ownership</w:t>
      </w:r>
      <w:r w:rsidR="001474DD" w:rsidRPr="00CC3E19">
        <w:rPr>
          <w:rFonts w:cs="Times New Roman"/>
          <w:szCs w:val="24"/>
        </w:rPr>
        <w:t xml:space="preserve">. So the puzzle remains: Is issue ownership a stable, long-term phenomenon? </w:t>
      </w:r>
    </w:p>
    <w:p w:rsidR="00F87D78" w:rsidRDefault="00721159" w:rsidP="00CC3E19">
      <w:pPr>
        <w:ind w:firstLine="567"/>
        <w:rPr>
          <w:rFonts w:cs="Times New Roman"/>
          <w:szCs w:val="24"/>
        </w:rPr>
      </w:pPr>
      <w:r w:rsidRPr="00CC3E19">
        <w:rPr>
          <w:rFonts w:cs="Times New Roman"/>
          <w:szCs w:val="24"/>
        </w:rPr>
        <w:t xml:space="preserve">In a mediatized world concentrated on politicians’ competences and performance and their short-term strategies to undercut each other, </w:t>
      </w:r>
      <w:r w:rsidR="004951E7" w:rsidRPr="00CC3E19">
        <w:rPr>
          <w:rFonts w:cs="Times New Roman"/>
          <w:szCs w:val="24"/>
        </w:rPr>
        <w:t>day-to-day news</w:t>
      </w:r>
      <w:r w:rsidR="0005591B" w:rsidRPr="00CC3E19">
        <w:rPr>
          <w:rFonts w:cs="Times New Roman"/>
          <w:szCs w:val="24"/>
        </w:rPr>
        <w:t xml:space="preserve"> </w:t>
      </w:r>
      <w:r w:rsidR="004951E7" w:rsidRPr="00CC3E19">
        <w:rPr>
          <w:rFonts w:cs="Times New Roman"/>
          <w:szCs w:val="24"/>
        </w:rPr>
        <w:t xml:space="preserve">coverage </w:t>
      </w:r>
      <w:r w:rsidRPr="00CC3E19">
        <w:rPr>
          <w:rFonts w:cs="Times New Roman"/>
          <w:szCs w:val="24"/>
        </w:rPr>
        <w:t>eas</w:t>
      </w:r>
      <w:r w:rsidR="004951E7" w:rsidRPr="00CC3E19">
        <w:rPr>
          <w:rFonts w:cs="Times New Roman"/>
          <w:szCs w:val="24"/>
        </w:rPr>
        <w:t>il</w:t>
      </w:r>
      <w:r w:rsidRPr="00CC3E19">
        <w:rPr>
          <w:rFonts w:cs="Times New Roman"/>
          <w:szCs w:val="24"/>
        </w:rPr>
        <w:t xml:space="preserve">y </w:t>
      </w:r>
      <w:r w:rsidR="004951E7" w:rsidRPr="00CC3E19">
        <w:rPr>
          <w:rFonts w:cs="Times New Roman"/>
          <w:szCs w:val="24"/>
        </w:rPr>
        <w:t>give</w:t>
      </w:r>
      <w:r w:rsidR="00AE6E95" w:rsidRPr="00CC3E19">
        <w:rPr>
          <w:rFonts w:cs="Times New Roman"/>
          <w:szCs w:val="24"/>
        </w:rPr>
        <w:t>s</w:t>
      </w:r>
      <w:r w:rsidR="004951E7" w:rsidRPr="00CC3E19">
        <w:rPr>
          <w:rFonts w:cs="Times New Roman"/>
          <w:szCs w:val="24"/>
        </w:rPr>
        <w:t xml:space="preserve"> </w:t>
      </w:r>
      <w:r w:rsidRPr="00CC3E19">
        <w:rPr>
          <w:rFonts w:cs="Times New Roman"/>
          <w:szCs w:val="24"/>
        </w:rPr>
        <w:t xml:space="preserve">the impression that issue reputations are highly conditional. However, this may not be the case if we take one step back and examine the broader patterns. </w:t>
      </w:r>
      <w:r w:rsidR="00546F41">
        <w:rPr>
          <w:rFonts w:cs="Times New Roman"/>
          <w:szCs w:val="24"/>
        </w:rPr>
        <w:t>Yet</w:t>
      </w:r>
      <w:r w:rsidR="00F87D78">
        <w:rPr>
          <w:rFonts w:cs="Times New Roman"/>
          <w:szCs w:val="24"/>
        </w:rPr>
        <w:t>,</w:t>
      </w:r>
      <w:r w:rsidR="00546F41">
        <w:rPr>
          <w:rFonts w:cs="Times New Roman"/>
          <w:szCs w:val="24"/>
        </w:rPr>
        <w:t xml:space="preserve"> existing work does not provide such systematic overview. </w:t>
      </w:r>
      <w:r w:rsidR="00F87D78">
        <w:rPr>
          <w:rFonts w:cs="Times New Roman"/>
          <w:szCs w:val="24"/>
        </w:rPr>
        <w:t xml:space="preserve">So far, most studies have looked at only a few issues </w:t>
      </w:r>
      <w:r w:rsidR="007262EF">
        <w:rPr>
          <w:rFonts w:cs="Times New Roman"/>
          <w:szCs w:val="24"/>
        </w:rPr>
        <w:t xml:space="preserve">and typically only </w:t>
      </w:r>
      <w:r w:rsidR="00F87D78">
        <w:rPr>
          <w:rFonts w:cs="Times New Roman"/>
          <w:szCs w:val="24"/>
        </w:rPr>
        <w:t xml:space="preserve">in one country </w:t>
      </w:r>
      <w:r w:rsidR="00F87D78" w:rsidRPr="00CC3E19">
        <w:rPr>
          <w:rFonts w:cs="Times New Roman"/>
          <w:szCs w:val="24"/>
        </w:rPr>
        <w:fldChar w:fldCharType="begin"/>
      </w:r>
      <w:r w:rsidR="00C32EE3">
        <w:rPr>
          <w:rFonts w:cs="Times New Roman"/>
          <w:szCs w:val="24"/>
        </w:rPr>
        <w:instrText xml:space="preserve"> ADDIN ZOTERO_ITEM CSL_CITATION {"citationID":"KznxFdtw","properties":{"formattedCitation":"(e.g. Brasher 2009; Egan 2013; Pope and Woon 2009)","plainCitation":"(e.g. Brasher 2009; Egan 2013; Pope and Woon 2009)"},"citationItems":[{"id":99,"uris":["http://zotero.org/users/local/7eX6MhG9/items/SJVKRC92"],"uri":["http://zotero.org/users/local/7eX6MhG9/items/SJVKRC92"],"itemData":{"id":99,"type":"article-journal","title":"The Dynamic Character of Political Party Evaluations","container-title":"Party Politics","page":"69–92","volume":"15","issue":"1","author":[{"family":"Brasher","given":"Holly"}],"issued":{"date-parts":[["2009"]]}},"prefix":"e.g."},{"id":298,"uris":["http://zotero.org/users/local/7eX6MhG9/items/MI59MV5P"],"uri":["http://zotero.org/users/local/7eX6MhG9/items/MI59MV5P"],"itemData":{"id":298,"type":"book","title":"Partisan Priorties. How Issue Ownership Drives and Distorts American Politics","publisher":"Cambridge University Press","publisher-place":"Cambridge","event-place":"Cambridge","author":[{"family":"Egan","given":"Patrick"}],"issued":{"date-parts":[["2013"]]}}},{"id":312,"uris":["http://zotero.org/users/local/7eX6MhG9/items/SRRVA9Z9"],"uri":["http://zotero.org/users/local/7eX6MhG9/items/SRRVA9Z9"],"itemData":{"id":312,"type":"article-journal","title":"Measuring Changes in American Party Reputations, 1939-2004","container-title":"Political Research Quarterly","page":"653–61","volume":"62","issue":"4","author":[{"family":"Pope","given":"Jeremy"},{"family":"Woon","given":"Jonathan"}],"issued":{"date-parts":[["2009"]]}}}],"schema":"https://github.com/citation-style-language/schema/raw/master/csl-citation.json"} </w:instrText>
      </w:r>
      <w:r w:rsidR="00F87D78" w:rsidRPr="00CC3E19">
        <w:rPr>
          <w:rFonts w:cs="Times New Roman"/>
          <w:szCs w:val="24"/>
        </w:rPr>
        <w:fldChar w:fldCharType="separate"/>
      </w:r>
      <w:r w:rsidR="00C32EE3" w:rsidRPr="00C32EE3">
        <w:rPr>
          <w:rFonts w:cs="Times New Roman"/>
        </w:rPr>
        <w:t>(e.g. Brasher 2009; Egan 2013; Pope and Woon 2009)</w:t>
      </w:r>
      <w:r w:rsidR="00F87D78" w:rsidRPr="00CC3E19">
        <w:rPr>
          <w:rFonts w:cs="Times New Roman"/>
          <w:szCs w:val="24"/>
        </w:rPr>
        <w:fldChar w:fldCharType="end"/>
      </w:r>
      <w:r w:rsidR="00F87D78">
        <w:rPr>
          <w:rFonts w:cs="Times New Roman"/>
          <w:szCs w:val="24"/>
        </w:rPr>
        <w:t>. As a consequence,</w:t>
      </w:r>
      <w:r w:rsidR="00222B8B">
        <w:rPr>
          <w:rFonts w:cs="Times New Roman"/>
          <w:szCs w:val="24"/>
        </w:rPr>
        <w:t xml:space="preserve"> </w:t>
      </w:r>
      <w:r w:rsidR="00F87D78">
        <w:rPr>
          <w:rFonts w:cs="Times New Roman"/>
          <w:szCs w:val="24"/>
        </w:rPr>
        <w:t xml:space="preserve">systematic knowledge </w:t>
      </w:r>
      <w:r w:rsidR="003B0DE1">
        <w:rPr>
          <w:rFonts w:cs="Times New Roman"/>
          <w:szCs w:val="24"/>
        </w:rPr>
        <w:t xml:space="preserve">is </w:t>
      </w:r>
      <w:r w:rsidR="00222B8B">
        <w:rPr>
          <w:rFonts w:cs="Times New Roman"/>
          <w:szCs w:val="24"/>
        </w:rPr>
        <w:t>yet to be seen</w:t>
      </w:r>
      <w:r w:rsidR="003B0DE1">
        <w:rPr>
          <w:rFonts w:cs="Times New Roman"/>
          <w:szCs w:val="24"/>
        </w:rPr>
        <w:t xml:space="preserve"> </w:t>
      </w:r>
      <w:r w:rsidR="00222B8B">
        <w:rPr>
          <w:rFonts w:cs="Times New Roman"/>
          <w:szCs w:val="24"/>
        </w:rPr>
        <w:t xml:space="preserve">on </w:t>
      </w:r>
      <w:r w:rsidR="00F87D78">
        <w:rPr>
          <w:rFonts w:cs="Times New Roman"/>
          <w:szCs w:val="24"/>
        </w:rPr>
        <w:t>how stable voters’ perceptions of parties’ issue ownerships are</w:t>
      </w:r>
      <w:r w:rsidR="00546F41">
        <w:rPr>
          <w:rFonts w:cs="Times New Roman"/>
          <w:szCs w:val="24"/>
        </w:rPr>
        <w:t xml:space="preserve">, and this hampers progress in </w:t>
      </w:r>
      <w:r w:rsidR="001506C8">
        <w:rPr>
          <w:rFonts w:cs="Times New Roman"/>
          <w:szCs w:val="24"/>
        </w:rPr>
        <w:t>the</w:t>
      </w:r>
      <w:r w:rsidR="00546F41">
        <w:rPr>
          <w:rFonts w:cs="Times New Roman"/>
          <w:szCs w:val="24"/>
        </w:rPr>
        <w:t xml:space="preserve"> understanding of stability and change in issue ownership. </w:t>
      </w:r>
    </w:p>
    <w:p w:rsidR="00462031" w:rsidRPr="00CC3E19" w:rsidRDefault="00F87D78" w:rsidP="00546F41">
      <w:pPr>
        <w:ind w:firstLine="567"/>
        <w:rPr>
          <w:rFonts w:cs="Times New Roman"/>
          <w:b/>
          <w:szCs w:val="24"/>
        </w:rPr>
      </w:pPr>
      <w:r>
        <w:rPr>
          <w:rFonts w:cs="Times New Roman"/>
          <w:szCs w:val="24"/>
        </w:rPr>
        <w:t xml:space="preserve">In this paper, a novel database </w:t>
      </w:r>
      <w:r w:rsidR="001506C8">
        <w:rPr>
          <w:rFonts w:cs="Times New Roman"/>
          <w:szCs w:val="24"/>
        </w:rPr>
        <w:t>is presented that allows</w:t>
      </w:r>
      <w:r>
        <w:rPr>
          <w:rFonts w:cs="Times New Roman"/>
          <w:szCs w:val="24"/>
        </w:rPr>
        <w:t xml:space="preserve"> a systematic and comprehensive test of the stability of issue ownership. The database covers issue ownership from </w:t>
      </w:r>
      <w:r w:rsidR="00FA2842" w:rsidRPr="00CC3E19">
        <w:rPr>
          <w:rFonts w:cs="Times New Roman"/>
          <w:szCs w:val="24"/>
        </w:rPr>
        <w:t>1</w:t>
      </w:r>
      <w:r w:rsidR="00F23EE6" w:rsidRPr="00CC3E19">
        <w:rPr>
          <w:rFonts w:cs="Times New Roman"/>
          <w:szCs w:val="24"/>
        </w:rPr>
        <w:t>36</w:t>
      </w:r>
      <w:r w:rsidR="008C005F" w:rsidRPr="00CC3E19">
        <w:rPr>
          <w:rFonts w:cs="Times New Roman"/>
          <w:szCs w:val="24"/>
        </w:rPr>
        <w:t xml:space="preserve"> national election surveys</w:t>
      </w:r>
      <w:r>
        <w:rPr>
          <w:rFonts w:cs="Times New Roman"/>
          <w:szCs w:val="24"/>
        </w:rPr>
        <w:t xml:space="preserve"> in 17 countries</w:t>
      </w:r>
      <w:r w:rsidR="007F4C52">
        <w:rPr>
          <w:rFonts w:cs="Times New Roman"/>
          <w:szCs w:val="24"/>
        </w:rPr>
        <w:t xml:space="preserve"> across three decades</w:t>
      </w:r>
      <w:r>
        <w:rPr>
          <w:rFonts w:cs="Times New Roman"/>
          <w:szCs w:val="24"/>
        </w:rPr>
        <w:t xml:space="preserve">. </w:t>
      </w:r>
      <w:r w:rsidR="001506C8">
        <w:rPr>
          <w:rFonts w:cs="Times New Roman"/>
          <w:szCs w:val="24"/>
        </w:rPr>
        <w:t xml:space="preserve">The analysis shows that </w:t>
      </w:r>
      <w:r w:rsidR="00E03B47" w:rsidRPr="00CC3E19">
        <w:rPr>
          <w:rFonts w:cs="Times New Roman"/>
          <w:szCs w:val="24"/>
        </w:rPr>
        <w:t xml:space="preserve">stability </w:t>
      </w:r>
      <w:r w:rsidR="00A95AF5">
        <w:rPr>
          <w:rFonts w:cs="Times New Roman"/>
          <w:szCs w:val="24"/>
        </w:rPr>
        <w:t xml:space="preserve">over time and similarity across countries </w:t>
      </w:r>
      <w:r w:rsidR="00E03B47" w:rsidRPr="00CC3E19">
        <w:rPr>
          <w:rFonts w:cs="Times New Roman"/>
          <w:szCs w:val="24"/>
        </w:rPr>
        <w:t xml:space="preserve">in issue ownership is the norm </w:t>
      </w:r>
      <w:r w:rsidR="0005591B" w:rsidRPr="00CC3E19">
        <w:rPr>
          <w:rFonts w:cs="Times New Roman"/>
          <w:szCs w:val="24"/>
        </w:rPr>
        <w:t xml:space="preserve">rather </w:t>
      </w:r>
      <w:r w:rsidR="00E03B47" w:rsidRPr="00CC3E19">
        <w:rPr>
          <w:rFonts w:cs="Times New Roman"/>
          <w:szCs w:val="24"/>
        </w:rPr>
        <w:t>than the exception.</w:t>
      </w:r>
      <w:r w:rsidR="0025258C" w:rsidRPr="00CC3E19">
        <w:rPr>
          <w:rFonts w:cs="Times New Roman"/>
          <w:szCs w:val="24"/>
        </w:rPr>
        <w:t xml:space="preserve"> On </w:t>
      </w:r>
      <w:r w:rsidR="00CF391B" w:rsidRPr="00CC3E19">
        <w:rPr>
          <w:rFonts w:cs="Times New Roman"/>
          <w:szCs w:val="24"/>
        </w:rPr>
        <w:t xml:space="preserve">about </w:t>
      </w:r>
      <w:r w:rsidR="00631C21" w:rsidRPr="00CC3E19">
        <w:rPr>
          <w:rFonts w:cs="Times New Roman"/>
          <w:szCs w:val="24"/>
        </w:rPr>
        <w:t>two out of three issues</w:t>
      </w:r>
      <w:r w:rsidR="0025258C" w:rsidRPr="00CC3E19">
        <w:rPr>
          <w:rFonts w:cs="Times New Roman"/>
          <w:szCs w:val="24"/>
        </w:rPr>
        <w:t>, issue ownership</w:t>
      </w:r>
      <w:r w:rsidR="00337BFE" w:rsidRPr="00CC3E19">
        <w:rPr>
          <w:rFonts w:cs="Times New Roman"/>
          <w:szCs w:val="24"/>
        </w:rPr>
        <w:t xml:space="preserve"> overall</w:t>
      </w:r>
      <w:r w:rsidR="0025258C" w:rsidRPr="00CC3E19">
        <w:rPr>
          <w:rFonts w:cs="Times New Roman"/>
          <w:szCs w:val="24"/>
        </w:rPr>
        <w:t xml:space="preserve"> belongs to </w:t>
      </w:r>
      <w:r w:rsidR="00337BFE" w:rsidRPr="00CC3E19">
        <w:rPr>
          <w:rFonts w:cs="Times New Roman"/>
          <w:szCs w:val="24"/>
        </w:rPr>
        <w:t xml:space="preserve">a party from the same side of the ideological divide </w:t>
      </w:r>
      <w:r w:rsidR="0025258C" w:rsidRPr="00CC3E19">
        <w:rPr>
          <w:rFonts w:cs="Times New Roman"/>
          <w:szCs w:val="24"/>
        </w:rPr>
        <w:t xml:space="preserve">over time and across countries. </w:t>
      </w:r>
      <w:r w:rsidR="00CF391B" w:rsidRPr="00CC3E19">
        <w:rPr>
          <w:rFonts w:cs="Times New Roman"/>
          <w:szCs w:val="24"/>
        </w:rPr>
        <w:t>This evidence suggest</w:t>
      </w:r>
      <w:r w:rsidR="00DF29C9" w:rsidRPr="00CC3E19">
        <w:rPr>
          <w:rFonts w:cs="Times New Roman"/>
          <w:szCs w:val="24"/>
        </w:rPr>
        <w:t>s</w:t>
      </w:r>
      <w:r w:rsidR="00CF391B" w:rsidRPr="00CC3E19">
        <w:rPr>
          <w:rFonts w:cs="Times New Roman"/>
          <w:szCs w:val="24"/>
        </w:rPr>
        <w:t xml:space="preserve"> that </w:t>
      </w:r>
      <w:r w:rsidR="00756A15" w:rsidRPr="00CC3E19">
        <w:rPr>
          <w:rFonts w:cs="Times New Roman"/>
          <w:szCs w:val="24"/>
        </w:rPr>
        <w:t xml:space="preserve">issue ownership is a long-term </w:t>
      </w:r>
      <w:r w:rsidR="00A31E9F" w:rsidRPr="00CC3E19">
        <w:rPr>
          <w:rFonts w:cs="Times New Roman"/>
          <w:szCs w:val="24"/>
        </w:rPr>
        <w:t xml:space="preserve">and distinct </w:t>
      </w:r>
      <w:r w:rsidR="00756A15" w:rsidRPr="00CC3E19">
        <w:rPr>
          <w:rFonts w:cs="Times New Roman"/>
          <w:szCs w:val="24"/>
        </w:rPr>
        <w:t xml:space="preserve">phenomenon. </w:t>
      </w:r>
    </w:p>
    <w:p w:rsidR="00982B38" w:rsidRPr="00CC3E19" w:rsidRDefault="00982B38" w:rsidP="00CC3E19">
      <w:pPr>
        <w:rPr>
          <w:rFonts w:cs="Times New Roman"/>
          <w:b/>
          <w:szCs w:val="24"/>
        </w:rPr>
      </w:pPr>
    </w:p>
    <w:p w:rsidR="00B2342C" w:rsidRPr="00CC3E19" w:rsidRDefault="00165325" w:rsidP="00CC3E19">
      <w:pPr>
        <w:rPr>
          <w:rFonts w:cs="Times New Roman"/>
          <w:b/>
          <w:szCs w:val="24"/>
        </w:rPr>
      </w:pPr>
      <w:r w:rsidRPr="00CC3E19">
        <w:rPr>
          <w:rFonts w:cs="Times New Roman"/>
          <w:b/>
          <w:szCs w:val="24"/>
        </w:rPr>
        <w:t>The disagreement on the stability of issue ownership</w:t>
      </w:r>
    </w:p>
    <w:p w:rsidR="00943F8C" w:rsidRPr="00CC3E19" w:rsidRDefault="00791908" w:rsidP="00CC3E19">
      <w:pPr>
        <w:rPr>
          <w:rFonts w:cs="Times New Roman"/>
          <w:szCs w:val="24"/>
        </w:rPr>
      </w:pPr>
      <w:r w:rsidRPr="00CC3E19">
        <w:rPr>
          <w:rFonts w:cs="Times New Roman"/>
          <w:szCs w:val="24"/>
        </w:rPr>
        <w:t xml:space="preserve">As a macro-phenomenon, the interest in </w:t>
      </w:r>
      <w:r w:rsidR="00080347" w:rsidRPr="00CC3E19">
        <w:rPr>
          <w:rFonts w:cs="Times New Roman"/>
          <w:szCs w:val="24"/>
        </w:rPr>
        <w:t xml:space="preserve">parties’ issue connections </w:t>
      </w:r>
      <w:r w:rsidRPr="00CC3E19">
        <w:rPr>
          <w:rFonts w:cs="Times New Roman"/>
          <w:szCs w:val="24"/>
        </w:rPr>
        <w:t xml:space="preserve">has a long history. It emanates </w:t>
      </w:r>
      <w:r w:rsidR="00D36438" w:rsidRPr="00CC3E19">
        <w:rPr>
          <w:rFonts w:cs="Times New Roman"/>
          <w:szCs w:val="24"/>
        </w:rPr>
        <w:t>from</w:t>
      </w:r>
      <w:r w:rsidRPr="00CC3E19">
        <w:rPr>
          <w:rFonts w:cs="Times New Roman"/>
          <w:szCs w:val="24"/>
        </w:rPr>
        <w:t xml:space="preserve"> the pioneering work </w:t>
      </w:r>
      <w:r w:rsidR="00C377BA" w:rsidRPr="00CC3E19">
        <w:rPr>
          <w:rFonts w:cs="Times New Roman"/>
          <w:szCs w:val="24"/>
        </w:rPr>
        <w:t>of</w:t>
      </w:r>
      <w:r w:rsidRPr="00CC3E19">
        <w:rPr>
          <w:rFonts w:cs="Times New Roman"/>
          <w:szCs w:val="24"/>
        </w:rPr>
        <w:t xml:space="preserve"> </w:t>
      </w:r>
      <w:bookmarkStart w:id="1" w:name="OLE_LINK1"/>
      <w:bookmarkStart w:id="2" w:name="OLE_LINK2"/>
      <w:r w:rsidRPr="00CC3E19">
        <w:rPr>
          <w:rFonts w:cs="Times New Roman"/>
          <w:szCs w:val="24"/>
        </w:rPr>
        <w:t xml:space="preserve">Schattschneider </w:t>
      </w:r>
      <w:bookmarkEnd w:id="1"/>
      <w:bookmarkEnd w:id="2"/>
      <w:r w:rsidRPr="00CC3E19">
        <w:rPr>
          <w:rFonts w:cs="Times New Roman"/>
          <w:szCs w:val="24"/>
        </w:rPr>
        <w:fldChar w:fldCharType="begin"/>
      </w:r>
      <w:r w:rsidR="00C700AC" w:rsidRPr="00CC3E19">
        <w:rPr>
          <w:rFonts w:cs="Times New Roman"/>
          <w:szCs w:val="24"/>
        </w:rPr>
        <w:instrText xml:space="preserve"> ADDIN ZOTERO_ITEM CSL_CITATION {"citationID":"lkSjaX1H","properties":{"formattedCitation":"(1960)","plainCitation":"(1960)"},"citationItems":[{"id":226,"uris":["http://zotero.org/users/local/7eX6MhG9/items/AE6XFD9G"],"uri":["http://zotero.org/users/local/7eX6MhG9/items/AE6XFD9G"],"itemData":{"id":226,"type":"book","title":"The Semisovereign People","publisher":"Hold, Rinehart, and Winston","publisher-place":"New York","event-place":"New York","author":[{"family":"Schattschneider","given":"Elmer"}],"issued":{"date-parts":[["1960"]]}},"suppress-author":true}],"schema":"https://github.com/citation-style-language/schema/raw/master/csl-citation.json"} </w:instrText>
      </w:r>
      <w:r w:rsidRPr="00CC3E19">
        <w:rPr>
          <w:rFonts w:cs="Times New Roman"/>
          <w:szCs w:val="24"/>
        </w:rPr>
        <w:fldChar w:fldCharType="separate"/>
      </w:r>
      <w:r w:rsidRPr="00CC3E19">
        <w:rPr>
          <w:rFonts w:cs="Times New Roman"/>
          <w:szCs w:val="24"/>
        </w:rPr>
        <w:t>(1960)</w:t>
      </w:r>
      <w:r w:rsidRPr="00CC3E19">
        <w:rPr>
          <w:rFonts w:cs="Times New Roman"/>
          <w:szCs w:val="24"/>
        </w:rPr>
        <w:fldChar w:fldCharType="end"/>
      </w:r>
      <w:r w:rsidRPr="00CC3E19">
        <w:rPr>
          <w:rFonts w:cs="Times New Roman"/>
          <w:szCs w:val="24"/>
        </w:rPr>
        <w:t xml:space="preserve">, Robertson </w:t>
      </w:r>
      <w:r w:rsidRPr="00CC3E19">
        <w:rPr>
          <w:rFonts w:cs="Times New Roman"/>
          <w:szCs w:val="24"/>
        </w:rPr>
        <w:fldChar w:fldCharType="begin"/>
      </w:r>
      <w:r w:rsidR="00C700AC" w:rsidRPr="00CC3E19">
        <w:rPr>
          <w:rFonts w:cs="Times New Roman"/>
          <w:szCs w:val="24"/>
        </w:rPr>
        <w:instrText xml:space="preserve"> ADDIN ZOTERO_ITEM CSL_CITATION {"citationID":"Bcj44pwE","properties":{"formattedCitation":"(1976)","plainCitation":"(1976)"},"citationItems":[{"id":222,"uris":["http://zotero.org/users/local/7eX6MhG9/items/QCTAHJAJ"],"uri":["http://zotero.org/users/local/7eX6MhG9/items/QCTAHJAJ"],"itemData":{"id":222,"type":"book","title":"A theory of party competition","publisher":"Wiley","publisher-place":"London","event-place":"London","author":[{"family":"Robertson","given":"David"}],"issued":{"date-parts":[["1976"]]}},"suppress-author":true}],"schema":"https://github.com/citation-style-language/schema/raw/master/csl-citation.json"} </w:instrText>
      </w:r>
      <w:r w:rsidRPr="00CC3E19">
        <w:rPr>
          <w:rFonts w:cs="Times New Roman"/>
          <w:szCs w:val="24"/>
        </w:rPr>
        <w:fldChar w:fldCharType="separate"/>
      </w:r>
      <w:r w:rsidRPr="00CC3E19">
        <w:rPr>
          <w:rFonts w:cs="Times New Roman"/>
          <w:szCs w:val="24"/>
        </w:rPr>
        <w:t>(1976)</w:t>
      </w:r>
      <w:r w:rsidRPr="00CC3E19">
        <w:rPr>
          <w:rFonts w:cs="Times New Roman"/>
          <w:szCs w:val="24"/>
        </w:rPr>
        <w:fldChar w:fldCharType="end"/>
      </w:r>
      <w:r w:rsidRPr="00CC3E19">
        <w:rPr>
          <w:rFonts w:cs="Times New Roman"/>
          <w:szCs w:val="24"/>
        </w:rPr>
        <w:t xml:space="preserve">, Budge and Farlie </w:t>
      </w:r>
      <w:r w:rsidRPr="00CC3E19">
        <w:rPr>
          <w:rFonts w:cs="Times New Roman"/>
          <w:szCs w:val="24"/>
        </w:rPr>
        <w:fldChar w:fldCharType="begin"/>
      </w:r>
      <w:r w:rsidR="00B412D8">
        <w:rPr>
          <w:rFonts w:cs="Times New Roman"/>
          <w:szCs w:val="24"/>
        </w:rPr>
        <w:instrText xml:space="preserve"> ADDIN ZOTERO_ITEM CSL_CITATION {"citationID":"DEilQoA0","properties":{"formattedCitation":"(1983)","plainCitation":"(1983)"},"citationItems":[{"id":102,"uris":["http://zotero.org/users/local/7eX6MhG9/items/NM4FMX85"],"uri":["http://zotero.org/users/local/7eX6MhG9/items/NM4FMX85"],"itemData":{"id":102,"type":"chapter","title":"Party Competition. Selective Emphasis or Direct Confrontation? An Alternative View with Data","container-title":"West European Party Systems. Continuity &amp; Change","publisher":"Sage Publications","publisher-place":"London","event-place":"London","author":[{"family":"Budge","given":"Ian"},{"family":"Farlie","given":"Dennis"}],"editor":[{"family":"Daalder","given":"Hans"},{"family":"Mair","given":"Peter"}],"issued":{"date-parts":[["1983"]]}},"suppress-author":true}],"schema":"https://github.com/citation-style-language/schema/raw/master/csl-citation.json"} </w:instrText>
      </w:r>
      <w:r w:rsidRPr="00CC3E19">
        <w:rPr>
          <w:rFonts w:cs="Times New Roman"/>
          <w:szCs w:val="24"/>
        </w:rPr>
        <w:fldChar w:fldCharType="separate"/>
      </w:r>
      <w:r w:rsidR="00B412D8" w:rsidRPr="00B412D8">
        <w:rPr>
          <w:rFonts w:cs="Times New Roman"/>
        </w:rPr>
        <w:t>(1983)</w:t>
      </w:r>
      <w:r w:rsidRPr="00CC3E19">
        <w:rPr>
          <w:rFonts w:cs="Times New Roman"/>
          <w:szCs w:val="24"/>
        </w:rPr>
        <w:fldChar w:fldCharType="end"/>
      </w:r>
      <w:r w:rsidRPr="00CC3E19">
        <w:rPr>
          <w:rFonts w:cs="Times New Roman"/>
          <w:szCs w:val="24"/>
        </w:rPr>
        <w:t xml:space="preserve">, Carmines </w:t>
      </w:r>
      <w:r w:rsidRPr="00CC3E19">
        <w:rPr>
          <w:rFonts w:cs="Times New Roman"/>
          <w:szCs w:val="24"/>
        </w:rPr>
        <w:fldChar w:fldCharType="begin"/>
      </w:r>
      <w:r w:rsidR="00C700AC" w:rsidRPr="00CC3E19">
        <w:rPr>
          <w:rFonts w:cs="Times New Roman"/>
          <w:szCs w:val="24"/>
        </w:rPr>
        <w:instrText xml:space="preserve"> ADDIN ZOTERO_ITEM CSL_CITATION {"citationID":"pijQWpvG","properties":{"formattedCitation":"(1991)","plainCitation":"(1991)"},"citationItems":[{"id":272,"uris":["http://zotero.org/users/local/7eX6MhG9/items/5IWZ94ZD"],"uri":["http://zotero.org/users/local/7eX6MhG9/items/5IWZ94ZD"],"itemData":{"id":272,"type":"article-journal","title":"The Logic of Party Alignments","container-title":"Journal of Theoretical Politics","page":"65–80","volume":"3","issue":"1","author":[{"family":"Carmines","given":"Edward"}],"issued":{"date-parts":[["1991"]]}},"suppress-author":true}],"schema":"https://github.com/citation-style-language/schema/raw/master/csl-citation.json"} </w:instrText>
      </w:r>
      <w:r w:rsidRPr="00CC3E19">
        <w:rPr>
          <w:rFonts w:cs="Times New Roman"/>
          <w:szCs w:val="24"/>
        </w:rPr>
        <w:fldChar w:fldCharType="separate"/>
      </w:r>
      <w:r w:rsidRPr="00CC3E19">
        <w:rPr>
          <w:rFonts w:cs="Times New Roman"/>
          <w:szCs w:val="24"/>
        </w:rPr>
        <w:t>(1991)</w:t>
      </w:r>
      <w:r w:rsidRPr="00CC3E19">
        <w:rPr>
          <w:rFonts w:cs="Times New Roman"/>
          <w:szCs w:val="24"/>
        </w:rPr>
        <w:fldChar w:fldCharType="end"/>
      </w:r>
      <w:r w:rsidRPr="00CC3E19">
        <w:rPr>
          <w:rFonts w:cs="Times New Roman"/>
          <w:szCs w:val="24"/>
        </w:rPr>
        <w:t xml:space="preserve">, and Riker </w:t>
      </w:r>
      <w:r w:rsidRPr="00CC3E19">
        <w:rPr>
          <w:rFonts w:cs="Times New Roman"/>
          <w:szCs w:val="24"/>
        </w:rPr>
        <w:fldChar w:fldCharType="begin"/>
      </w:r>
      <w:r w:rsidR="00C700AC" w:rsidRPr="00CC3E19">
        <w:rPr>
          <w:rFonts w:cs="Times New Roman"/>
          <w:szCs w:val="24"/>
        </w:rPr>
        <w:instrText xml:space="preserve"> ADDIN ZOTERO_ITEM CSL_CITATION {"citationID":"PVZYU1Zd","properties":{"formattedCitation":"(1996)","plainCitation":"(1996)"},"citationItems":[{"id":210,"uris":["http://zotero.org/users/local/7eX6MhG9/items/MPJ3XF82"],"uri":["http://zotero.org/users/local/7eX6MhG9/items/MPJ3XF82"],"itemData":{"id":210,"type":"book","title":"The Strategy of Rhetoric. Campaigning for the American Constitution","publisher":"Yale University Press","publisher-place":"New Haven","event-place":"New Haven","author":[{"family":"Riker","given":"William"}],"issued":{"date-parts":[["1996"]]}},"suppress-author":true}],"schema":"https://github.com/citation-style-language/schema/raw/master/csl-citation.json"} </w:instrText>
      </w:r>
      <w:r w:rsidRPr="00CC3E19">
        <w:rPr>
          <w:rFonts w:cs="Times New Roman"/>
          <w:szCs w:val="24"/>
        </w:rPr>
        <w:fldChar w:fldCharType="separate"/>
      </w:r>
      <w:r w:rsidR="00513DA0" w:rsidRPr="00CC3E19">
        <w:rPr>
          <w:rFonts w:cs="Times New Roman"/>
          <w:szCs w:val="24"/>
        </w:rPr>
        <w:t>(1996)</w:t>
      </w:r>
      <w:r w:rsidRPr="00CC3E19">
        <w:rPr>
          <w:rFonts w:cs="Times New Roman"/>
          <w:szCs w:val="24"/>
        </w:rPr>
        <w:fldChar w:fldCharType="end"/>
      </w:r>
      <w:r w:rsidRPr="00CC3E19">
        <w:rPr>
          <w:rFonts w:cs="Times New Roman"/>
          <w:szCs w:val="24"/>
        </w:rPr>
        <w:t xml:space="preserve"> to understand party behavior. </w:t>
      </w:r>
      <w:r w:rsidR="001B636D" w:rsidRPr="00CC3E19">
        <w:rPr>
          <w:rFonts w:cs="Times New Roman"/>
          <w:szCs w:val="24"/>
        </w:rPr>
        <w:t>At the hea</w:t>
      </w:r>
      <w:r w:rsidR="00D36438" w:rsidRPr="00CC3E19">
        <w:rPr>
          <w:rFonts w:cs="Times New Roman"/>
          <w:szCs w:val="24"/>
        </w:rPr>
        <w:t>r</w:t>
      </w:r>
      <w:r w:rsidR="001B636D" w:rsidRPr="00CC3E19">
        <w:rPr>
          <w:rFonts w:cs="Times New Roman"/>
          <w:szCs w:val="24"/>
        </w:rPr>
        <w:t xml:space="preserve">t of this </w:t>
      </w:r>
      <w:r w:rsidR="00D36438" w:rsidRPr="00CC3E19">
        <w:rPr>
          <w:rFonts w:cs="Times New Roman"/>
          <w:szCs w:val="24"/>
        </w:rPr>
        <w:t xml:space="preserve">classic </w:t>
      </w:r>
      <w:r w:rsidR="001B636D" w:rsidRPr="00CC3E19">
        <w:rPr>
          <w:rFonts w:cs="Times New Roman"/>
          <w:szCs w:val="24"/>
        </w:rPr>
        <w:t xml:space="preserve">strand of research is the </w:t>
      </w:r>
      <w:r w:rsidR="00901E8E" w:rsidRPr="00CC3E19">
        <w:rPr>
          <w:rFonts w:cs="Times New Roman"/>
          <w:szCs w:val="24"/>
        </w:rPr>
        <w:t xml:space="preserve">idea </w:t>
      </w:r>
      <w:r w:rsidR="001B636D" w:rsidRPr="00CC3E19">
        <w:rPr>
          <w:rFonts w:cs="Times New Roman"/>
          <w:szCs w:val="24"/>
        </w:rPr>
        <w:t>that p</w:t>
      </w:r>
      <w:r w:rsidRPr="00CC3E19">
        <w:rPr>
          <w:rFonts w:cs="Times New Roman"/>
          <w:szCs w:val="24"/>
        </w:rPr>
        <w:t xml:space="preserve">arties not only </w:t>
      </w:r>
      <w:r w:rsidR="001B636D" w:rsidRPr="00CC3E19">
        <w:rPr>
          <w:rFonts w:cs="Times New Roman"/>
          <w:szCs w:val="24"/>
        </w:rPr>
        <w:t xml:space="preserve">compete </w:t>
      </w:r>
      <w:r w:rsidRPr="00CC3E19">
        <w:rPr>
          <w:rFonts w:cs="Times New Roman"/>
          <w:szCs w:val="24"/>
        </w:rPr>
        <w:t xml:space="preserve">by </w:t>
      </w:r>
      <w:r w:rsidR="00901E8E" w:rsidRPr="00CC3E19">
        <w:rPr>
          <w:rFonts w:cs="Times New Roman"/>
          <w:szCs w:val="24"/>
        </w:rPr>
        <w:t xml:space="preserve">taking diverging positions </w:t>
      </w:r>
      <w:r w:rsidR="003D56A0" w:rsidRPr="00CC3E19">
        <w:rPr>
          <w:rFonts w:cs="Times New Roman"/>
          <w:szCs w:val="24"/>
        </w:rPr>
        <w:t xml:space="preserve">on a pre-given issue </w:t>
      </w:r>
      <w:r w:rsidR="004811CA" w:rsidRPr="00CC3E19">
        <w:rPr>
          <w:rFonts w:cs="Times New Roman"/>
          <w:szCs w:val="24"/>
        </w:rPr>
        <w:t xml:space="preserve">as spatial modelling in the tradition of Downs </w:t>
      </w:r>
      <w:r w:rsidR="004811CA" w:rsidRPr="00CC3E19">
        <w:rPr>
          <w:rFonts w:cs="Times New Roman"/>
          <w:szCs w:val="24"/>
        </w:rPr>
        <w:fldChar w:fldCharType="begin"/>
      </w:r>
      <w:r w:rsidR="00A50EBB" w:rsidRPr="00CC3E19">
        <w:rPr>
          <w:rFonts w:cs="Times New Roman"/>
          <w:szCs w:val="24"/>
        </w:rPr>
        <w:instrText xml:space="preserve"> ADDIN ZOTERO_ITEM CSL_CITATION {"citationID":"5PvZ1v2y","properties":{"formattedCitation":"(1957)","plainCitation":"(1957)"},"citationItems":[{"id":124,"uris":["http://zotero.org/users/local/7eX6MhG9/items/IXWR4DFG"],"uri":["http://zotero.org/users/local/7eX6MhG9/items/IXWR4DFG"],"itemData":{"id":124,"type":"book","title":"An economic theory of democracy","publisher":"Harper","publisher-place":"New York","event-place":"New York","author":[{"family":"Downs","given":"Anthony"}],"issued":{"date-parts":[["1957"]]}},"suppress-author":true}],"schema":"https://github.com/citation-style-language/schema/raw/master/csl-citation.json"} </w:instrText>
      </w:r>
      <w:r w:rsidR="004811CA" w:rsidRPr="00CC3E19">
        <w:rPr>
          <w:rFonts w:cs="Times New Roman"/>
          <w:szCs w:val="24"/>
        </w:rPr>
        <w:fldChar w:fldCharType="separate"/>
      </w:r>
      <w:r w:rsidR="004811CA" w:rsidRPr="00CC3E19">
        <w:rPr>
          <w:rFonts w:cs="Times New Roman"/>
          <w:szCs w:val="24"/>
        </w:rPr>
        <w:t>(1957)</w:t>
      </w:r>
      <w:r w:rsidR="004811CA" w:rsidRPr="00CC3E19">
        <w:rPr>
          <w:rFonts w:cs="Times New Roman"/>
          <w:szCs w:val="24"/>
        </w:rPr>
        <w:fldChar w:fldCharType="end"/>
      </w:r>
      <w:r w:rsidR="004811CA" w:rsidRPr="00CC3E19">
        <w:rPr>
          <w:rFonts w:cs="Times New Roman"/>
          <w:szCs w:val="24"/>
        </w:rPr>
        <w:t xml:space="preserve"> </w:t>
      </w:r>
      <w:r w:rsidR="0040305E" w:rsidRPr="00CC3E19">
        <w:rPr>
          <w:rFonts w:cs="Times New Roman"/>
          <w:szCs w:val="24"/>
        </w:rPr>
        <w:t xml:space="preserve">would </w:t>
      </w:r>
      <w:r w:rsidR="004811CA" w:rsidRPr="00CC3E19">
        <w:rPr>
          <w:rFonts w:cs="Times New Roman"/>
          <w:szCs w:val="24"/>
        </w:rPr>
        <w:t xml:space="preserve">suggest. </w:t>
      </w:r>
      <w:r w:rsidR="00901E8E" w:rsidRPr="00CC3E19">
        <w:rPr>
          <w:rFonts w:cs="Times New Roman"/>
          <w:szCs w:val="24"/>
        </w:rPr>
        <w:t xml:space="preserve">Parties compete in a multi-dimensional space on </w:t>
      </w:r>
      <w:r w:rsidR="003D56A0" w:rsidRPr="00CC3E19">
        <w:rPr>
          <w:rFonts w:cs="Times New Roman"/>
          <w:szCs w:val="24"/>
        </w:rPr>
        <w:t>multiple</w:t>
      </w:r>
      <w:r w:rsidR="00901E8E" w:rsidRPr="00CC3E19">
        <w:rPr>
          <w:rFonts w:cs="Times New Roman"/>
          <w:szCs w:val="24"/>
        </w:rPr>
        <w:t xml:space="preserve"> issues</w:t>
      </w:r>
      <w:r w:rsidR="00BA10B7" w:rsidRPr="00CC3E19">
        <w:rPr>
          <w:rFonts w:cs="Times New Roman"/>
          <w:szCs w:val="24"/>
        </w:rPr>
        <w:t xml:space="preserve"> to decide which issue will </w:t>
      </w:r>
      <w:r w:rsidR="00FA0B87" w:rsidRPr="00CC3E19">
        <w:rPr>
          <w:rFonts w:cs="Times New Roman"/>
          <w:szCs w:val="24"/>
        </w:rPr>
        <w:t>dominate political conflict</w:t>
      </w:r>
      <w:r w:rsidR="00350064" w:rsidRPr="00CC3E19">
        <w:rPr>
          <w:rFonts w:cs="Times New Roman"/>
          <w:szCs w:val="24"/>
        </w:rPr>
        <w:t>.</w:t>
      </w:r>
      <w:r w:rsidR="001F4BEE" w:rsidRPr="00CC3E19">
        <w:rPr>
          <w:rFonts w:cs="Times New Roman"/>
          <w:szCs w:val="24"/>
        </w:rPr>
        <w:t xml:space="preserve"> </w:t>
      </w:r>
      <w:r w:rsidR="00BA10B7" w:rsidRPr="00CC3E19">
        <w:rPr>
          <w:rFonts w:cs="Times New Roman"/>
          <w:szCs w:val="24"/>
        </w:rPr>
        <w:t xml:space="preserve">This issue selection will be subject </w:t>
      </w:r>
      <w:r w:rsidR="002D1A0A" w:rsidRPr="00CC3E19">
        <w:rPr>
          <w:rFonts w:cs="Times New Roman"/>
          <w:szCs w:val="24"/>
        </w:rPr>
        <w:t>to</w:t>
      </w:r>
      <w:r w:rsidR="00BA10B7" w:rsidRPr="00CC3E19">
        <w:rPr>
          <w:rFonts w:cs="Times New Roman"/>
          <w:szCs w:val="24"/>
        </w:rPr>
        <w:t xml:space="preserve"> </w:t>
      </w:r>
      <w:r w:rsidR="00FA0B87" w:rsidRPr="00CC3E19">
        <w:rPr>
          <w:rFonts w:cs="Times New Roman"/>
          <w:szCs w:val="24"/>
        </w:rPr>
        <w:t xml:space="preserve">party </w:t>
      </w:r>
      <w:r w:rsidR="00BA10B7" w:rsidRPr="00CC3E19">
        <w:rPr>
          <w:rFonts w:cs="Times New Roman"/>
          <w:szCs w:val="24"/>
        </w:rPr>
        <w:t xml:space="preserve">competition because </w:t>
      </w:r>
      <w:r w:rsidR="0040305E" w:rsidRPr="00CC3E19">
        <w:rPr>
          <w:rFonts w:cs="Times New Roman"/>
          <w:szCs w:val="24"/>
        </w:rPr>
        <w:t>no issue is advantageous to all parties at the same time.</w:t>
      </w:r>
      <w:r w:rsidR="00350064" w:rsidRPr="00CC3E19">
        <w:rPr>
          <w:rFonts w:cs="Times New Roman"/>
          <w:szCs w:val="24"/>
        </w:rPr>
        <w:t xml:space="preserve"> </w:t>
      </w:r>
      <w:r w:rsidR="00C968F9" w:rsidRPr="00CC3E19">
        <w:rPr>
          <w:rFonts w:cs="Times New Roman"/>
          <w:szCs w:val="24"/>
        </w:rPr>
        <w:t>P</w:t>
      </w:r>
      <w:r w:rsidR="00E92B46" w:rsidRPr="00CC3E19">
        <w:rPr>
          <w:rFonts w:cs="Times New Roman"/>
          <w:szCs w:val="24"/>
        </w:rPr>
        <w:t>osition-taking</w:t>
      </w:r>
      <w:r w:rsidR="00C968F9" w:rsidRPr="00CC3E19">
        <w:rPr>
          <w:rFonts w:cs="Times New Roman"/>
          <w:szCs w:val="24"/>
        </w:rPr>
        <w:t xml:space="preserve"> </w:t>
      </w:r>
      <w:r w:rsidR="00BA10B7" w:rsidRPr="00CC3E19">
        <w:rPr>
          <w:rFonts w:cs="Times New Roman"/>
          <w:szCs w:val="24"/>
        </w:rPr>
        <w:t xml:space="preserve">for a party </w:t>
      </w:r>
      <w:r w:rsidR="00C968F9" w:rsidRPr="00CC3E19">
        <w:rPr>
          <w:rFonts w:cs="Times New Roman"/>
          <w:szCs w:val="24"/>
        </w:rPr>
        <w:t xml:space="preserve">is not </w:t>
      </w:r>
      <w:r w:rsidR="00BA10B7" w:rsidRPr="00CC3E19">
        <w:rPr>
          <w:rFonts w:cs="Times New Roman"/>
          <w:szCs w:val="24"/>
        </w:rPr>
        <w:t>equally b</w:t>
      </w:r>
      <w:r w:rsidR="00C968F9" w:rsidRPr="00CC3E19">
        <w:rPr>
          <w:rFonts w:cs="Times New Roman"/>
          <w:szCs w:val="24"/>
        </w:rPr>
        <w:t xml:space="preserve">eneficial across </w:t>
      </w:r>
      <w:r w:rsidR="00E92B46" w:rsidRPr="00CC3E19">
        <w:rPr>
          <w:rFonts w:cs="Times New Roman"/>
          <w:szCs w:val="24"/>
        </w:rPr>
        <w:t xml:space="preserve">issues. </w:t>
      </w:r>
      <w:r w:rsidR="00BA10B7" w:rsidRPr="00CC3E19">
        <w:rPr>
          <w:rFonts w:cs="Times New Roman"/>
          <w:szCs w:val="24"/>
        </w:rPr>
        <w:t xml:space="preserve">Without unveiling exactly how issues matter, this idea </w:t>
      </w:r>
      <w:r w:rsidR="00FA0B87" w:rsidRPr="00CC3E19">
        <w:rPr>
          <w:rFonts w:cs="Times New Roman"/>
          <w:szCs w:val="24"/>
        </w:rPr>
        <w:t xml:space="preserve">about the importance of issues </w:t>
      </w:r>
      <w:r w:rsidR="00910E3A">
        <w:rPr>
          <w:rFonts w:cs="Times New Roman"/>
          <w:szCs w:val="24"/>
        </w:rPr>
        <w:t xml:space="preserve">for party competition </w:t>
      </w:r>
      <w:r w:rsidR="00FA0B87" w:rsidRPr="00CC3E19">
        <w:rPr>
          <w:rFonts w:cs="Times New Roman"/>
          <w:szCs w:val="24"/>
        </w:rPr>
        <w:t xml:space="preserve">is at the </w:t>
      </w:r>
      <w:r w:rsidR="00080347" w:rsidRPr="00CC3E19">
        <w:rPr>
          <w:rFonts w:cs="Times New Roman"/>
          <w:szCs w:val="24"/>
        </w:rPr>
        <w:t>core</w:t>
      </w:r>
      <w:r w:rsidR="00FA0B87" w:rsidRPr="00CC3E19">
        <w:rPr>
          <w:rFonts w:cs="Times New Roman"/>
          <w:szCs w:val="24"/>
        </w:rPr>
        <w:t xml:space="preserve"> of this approach</w:t>
      </w:r>
      <w:r w:rsidR="00BA10B7" w:rsidRPr="00CC3E19">
        <w:rPr>
          <w:rFonts w:cs="Times New Roman"/>
          <w:szCs w:val="24"/>
        </w:rPr>
        <w:t xml:space="preserve">. </w:t>
      </w:r>
    </w:p>
    <w:p w:rsidR="00910E3A" w:rsidRDefault="0040305E" w:rsidP="0050342E">
      <w:pPr>
        <w:ind w:firstLine="720"/>
        <w:rPr>
          <w:rFonts w:cs="Times New Roman"/>
          <w:szCs w:val="24"/>
        </w:rPr>
      </w:pPr>
      <w:r w:rsidRPr="00CC3E19">
        <w:rPr>
          <w:rFonts w:cs="Times New Roman"/>
          <w:szCs w:val="24"/>
        </w:rPr>
        <w:t>The idea that parties have diverging connections to issues</w:t>
      </w:r>
      <w:r w:rsidR="00572986">
        <w:rPr>
          <w:rFonts w:cs="Times New Roman"/>
          <w:szCs w:val="24"/>
        </w:rPr>
        <w:t xml:space="preserve"> and </w:t>
      </w:r>
      <w:r w:rsidR="007262EF">
        <w:rPr>
          <w:rFonts w:cs="Times New Roman"/>
          <w:szCs w:val="24"/>
        </w:rPr>
        <w:t xml:space="preserve">that </w:t>
      </w:r>
      <w:r w:rsidR="00572986">
        <w:rPr>
          <w:rFonts w:cs="Times New Roman"/>
          <w:szCs w:val="24"/>
        </w:rPr>
        <w:t>this is central to party competition for votes</w:t>
      </w:r>
      <w:r w:rsidR="00FA28B4" w:rsidRPr="00CC3E19">
        <w:rPr>
          <w:rFonts w:cs="Times New Roman"/>
          <w:szCs w:val="24"/>
        </w:rPr>
        <w:t xml:space="preserve"> therefore</w:t>
      </w:r>
      <w:r w:rsidR="00A50ED3" w:rsidRPr="00CC3E19">
        <w:rPr>
          <w:rFonts w:cs="Times New Roman"/>
          <w:szCs w:val="24"/>
        </w:rPr>
        <w:t xml:space="preserve"> </w:t>
      </w:r>
      <w:r w:rsidRPr="00CC3E19">
        <w:rPr>
          <w:rFonts w:cs="Times New Roman"/>
          <w:szCs w:val="24"/>
        </w:rPr>
        <w:t>has deep roots</w:t>
      </w:r>
      <w:r w:rsidR="0008078F" w:rsidRPr="00CC3E19">
        <w:rPr>
          <w:rFonts w:cs="Times New Roman"/>
          <w:szCs w:val="24"/>
        </w:rPr>
        <w:t>,</w:t>
      </w:r>
      <w:r w:rsidRPr="00CC3E19">
        <w:rPr>
          <w:rFonts w:cs="Times New Roman"/>
          <w:szCs w:val="24"/>
        </w:rPr>
        <w:t xml:space="preserve"> </w:t>
      </w:r>
      <w:r w:rsidR="0008078F" w:rsidRPr="00CC3E19">
        <w:rPr>
          <w:rFonts w:cs="Times New Roman"/>
          <w:szCs w:val="24"/>
        </w:rPr>
        <w:t xml:space="preserve">but it was </w:t>
      </w:r>
      <w:r w:rsidRPr="00CC3E19">
        <w:rPr>
          <w:rFonts w:cs="Times New Roman"/>
          <w:szCs w:val="24"/>
        </w:rPr>
        <w:t xml:space="preserve">not </w:t>
      </w:r>
      <w:r w:rsidR="00CD001E" w:rsidRPr="00CC3E19">
        <w:rPr>
          <w:rFonts w:cs="Times New Roman"/>
          <w:szCs w:val="24"/>
        </w:rPr>
        <w:t xml:space="preserve">explicitly </w:t>
      </w:r>
      <w:r w:rsidRPr="00CC3E19">
        <w:rPr>
          <w:rFonts w:cs="Times New Roman"/>
          <w:szCs w:val="24"/>
        </w:rPr>
        <w:t xml:space="preserve">conceptualized until </w:t>
      </w:r>
      <w:r w:rsidR="009C5B40" w:rsidRPr="00CC3E19">
        <w:rPr>
          <w:rFonts w:cs="Times New Roman"/>
          <w:szCs w:val="24"/>
        </w:rPr>
        <w:t>Petrocik (1996)</w:t>
      </w:r>
      <w:r w:rsidRPr="00CC3E19">
        <w:rPr>
          <w:rFonts w:cs="Times New Roman"/>
          <w:szCs w:val="24"/>
        </w:rPr>
        <w:t xml:space="preserve"> introduced</w:t>
      </w:r>
      <w:r w:rsidR="008521A3" w:rsidRPr="00CC3E19">
        <w:rPr>
          <w:rFonts w:cs="Times New Roman"/>
          <w:szCs w:val="24"/>
        </w:rPr>
        <w:t xml:space="preserve"> and popularized</w:t>
      </w:r>
      <w:r w:rsidRPr="00CC3E19">
        <w:rPr>
          <w:rFonts w:cs="Times New Roman"/>
          <w:szCs w:val="24"/>
        </w:rPr>
        <w:t xml:space="preserve"> the concept of issue ownership</w:t>
      </w:r>
      <w:r w:rsidR="00783D91" w:rsidRPr="00CC3E19">
        <w:rPr>
          <w:rFonts w:cs="Times New Roman"/>
          <w:szCs w:val="24"/>
        </w:rPr>
        <w:t xml:space="preserve">. </w:t>
      </w:r>
      <w:r w:rsidR="0008078F" w:rsidRPr="00CC3E19">
        <w:rPr>
          <w:rFonts w:cs="Times New Roman"/>
          <w:szCs w:val="24"/>
        </w:rPr>
        <w:t xml:space="preserve">In his words </w:t>
      </w:r>
      <w:r w:rsidR="00B2342C" w:rsidRPr="00CC3E19">
        <w:rPr>
          <w:rFonts w:cs="Times New Roman"/>
          <w:szCs w:val="24"/>
        </w:rPr>
        <w:t>(1996</w:t>
      </w:r>
      <w:r w:rsidR="0015660E" w:rsidRPr="00CC3E19">
        <w:rPr>
          <w:rFonts w:cs="Times New Roman"/>
          <w:szCs w:val="24"/>
        </w:rPr>
        <w:t>,</w:t>
      </w:r>
      <w:r w:rsidR="00B2342C" w:rsidRPr="00CC3E19">
        <w:rPr>
          <w:rFonts w:cs="Times New Roman"/>
          <w:szCs w:val="24"/>
        </w:rPr>
        <w:t xml:space="preserve"> 826)</w:t>
      </w:r>
      <w:r w:rsidR="00741254" w:rsidRPr="00CC3E19">
        <w:rPr>
          <w:rFonts w:cs="Times New Roman"/>
          <w:szCs w:val="24"/>
        </w:rPr>
        <w:t xml:space="preserve">, </w:t>
      </w:r>
      <w:r w:rsidR="00B2342C" w:rsidRPr="00CC3E19">
        <w:rPr>
          <w:rFonts w:cs="Times New Roman"/>
          <w:szCs w:val="24"/>
        </w:rPr>
        <w:t>issue ownership</w:t>
      </w:r>
      <w:r w:rsidR="00741254" w:rsidRPr="00CC3E19">
        <w:rPr>
          <w:rFonts w:cs="Times New Roman"/>
          <w:szCs w:val="24"/>
        </w:rPr>
        <w:t xml:space="preserve"> </w:t>
      </w:r>
      <w:r w:rsidR="00B2342C" w:rsidRPr="00CC3E19">
        <w:rPr>
          <w:rFonts w:cs="Times New Roman"/>
          <w:szCs w:val="24"/>
        </w:rPr>
        <w:t xml:space="preserve">is </w:t>
      </w:r>
      <w:r w:rsidR="00741254" w:rsidRPr="00CC3E19">
        <w:rPr>
          <w:rFonts w:cs="Times New Roman"/>
          <w:szCs w:val="24"/>
        </w:rPr>
        <w:t>“[</w:t>
      </w:r>
      <w:r w:rsidR="00B2342C" w:rsidRPr="00CC3E19">
        <w:rPr>
          <w:rFonts w:cs="Times New Roman"/>
          <w:szCs w:val="24"/>
        </w:rPr>
        <w:t>a</w:t>
      </w:r>
      <w:r w:rsidR="00741254" w:rsidRPr="00CC3E19">
        <w:rPr>
          <w:rFonts w:cs="Times New Roman"/>
          <w:szCs w:val="24"/>
        </w:rPr>
        <w:t>]</w:t>
      </w:r>
      <w:r w:rsidR="00B2342C" w:rsidRPr="00CC3E19">
        <w:rPr>
          <w:rFonts w:cs="Times New Roman"/>
          <w:szCs w:val="24"/>
        </w:rPr>
        <w:t xml:space="preserve"> reputation for policy and program interest, produced by a history of attention, initiative, and innovation toward problems, which leads voters to believe that one of the parties is more sincere and committed to do something”. </w:t>
      </w:r>
      <w:r w:rsidR="00910E3A">
        <w:rPr>
          <w:rFonts w:cs="Times New Roman"/>
          <w:szCs w:val="24"/>
        </w:rPr>
        <w:t xml:space="preserve">Hence, the connection between parties and issues </w:t>
      </w:r>
      <w:r w:rsidR="006B5FFB">
        <w:rPr>
          <w:rFonts w:cs="Times New Roman"/>
          <w:szCs w:val="24"/>
        </w:rPr>
        <w:t>involves far more than</w:t>
      </w:r>
      <w:r w:rsidR="00910E3A">
        <w:rPr>
          <w:rFonts w:cs="Times New Roman"/>
          <w:szCs w:val="24"/>
        </w:rPr>
        <w:t xml:space="preserve"> the mere position a party </w:t>
      </w:r>
      <w:r w:rsidR="007262EF">
        <w:rPr>
          <w:rFonts w:cs="Times New Roman"/>
          <w:szCs w:val="24"/>
        </w:rPr>
        <w:t>takes</w:t>
      </w:r>
      <w:r w:rsidR="00910E3A">
        <w:rPr>
          <w:rFonts w:cs="Times New Roman"/>
          <w:szCs w:val="24"/>
        </w:rPr>
        <w:t xml:space="preserve"> on an issue. It is also about a party’s reputation for showing concern to the issue and being able to solve problems on the issue.</w:t>
      </w:r>
      <w:r w:rsidR="009C2B41">
        <w:rPr>
          <w:rFonts w:cs="Times New Roman"/>
          <w:szCs w:val="24"/>
        </w:rPr>
        <w:t xml:space="preserve"> This raise</w:t>
      </w:r>
      <w:r w:rsidR="006B5FFB">
        <w:rPr>
          <w:rFonts w:cs="Times New Roman"/>
          <w:szCs w:val="24"/>
        </w:rPr>
        <w:t>s</w:t>
      </w:r>
      <w:r w:rsidR="009C2B41">
        <w:rPr>
          <w:rFonts w:cs="Times New Roman"/>
          <w:szCs w:val="24"/>
        </w:rPr>
        <w:t xml:space="preserve"> the question: can a party easily change a rival’s </w:t>
      </w:r>
      <w:r w:rsidR="007544CC">
        <w:rPr>
          <w:rFonts w:cs="Times New Roman"/>
          <w:szCs w:val="24"/>
        </w:rPr>
        <w:t xml:space="preserve">connection to an issue, and </w:t>
      </w:r>
      <w:r w:rsidR="009C2B41">
        <w:rPr>
          <w:rFonts w:cs="Times New Roman"/>
          <w:szCs w:val="24"/>
        </w:rPr>
        <w:t xml:space="preserve">can a party count on </w:t>
      </w:r>
      <w:r w:rsidR="007544CC">
        <w:rPr>
          <w:rFonts w:cs="Times New Roman"/>
          <w:szCs w:val="24"/>
        </w:rPr>
        <w:t>its connection to an issue</w:t>
      </w:r>
      <w:r w:rsidR="009C2B41">
        <w:rPr>
          <w:rFonts w:cs="Times New Roman"/>
          <w:szCs w:val="24"/>
        </w:rPr>
        <w:t xml:space="preserve"> in </w:t>
      </w:r>
      <w:r w:rsidR="007544CC">
        <w:rPr>
          <w:rFonts w:cs="Times New Roman"/>
          <w:szCs w:val="24"/>
        </w:rPr>
        <w:t xml:space="preserve">its </w:t>
      </w:r>
      <w:r w:rsidR="009C2B41">
        <w:rPr>
          <w:rFonts w:cs="Times New Roman"/>
          <w:szCs w:val="24"/>
        </w:rPr>
        <w:t>competition for votes?</w:t>
      </w:r>
      <w:r w:rsidR="00910E3A">
        <w:rPr>
          <w:rFonts w:cs="Times New Roman"/>
          <w:szCs w:val="24"/>
        </w:rPr>
        <w:t xml:space="preserve"> </w:t>
      </w:r>
    </w:p>
    <w:p w:rsidR="00A226D0" w:rsidRDefault="009C2B41" w:rsidP="00A413FD">
      <w:pPr>
        <w:ind w:firstLine="720"/>
        <w:rPr>
          <w:rFonts w:cs="Times New Roman"/>
          <w:szCs w:val="24"/>
        </w:rPr>
      </w:pPr>
      <w:r>
        <w:rPr>
          <w:rFonts w:cs="Times New Roman"/>
          <w:szCs w:val="24"/>
        </w:rPr>
        <w:t xml:space="preserve">Theoretical work on issue ownership </w:t>
      </w:r>
      <w:r w:rsidR="007544CC">
        <w:rPr>
          <w:rFonts w:cs="Times New Roman"/>
          <w:szCs w:val="24"/>
        </w:rPr>
        <w:t>does not provide a clear answer. Th</w:t>
      </w:r>
      <w:r w:rsidR="00165325">
        <w:rPr>
          <w:rFonts w:cs="Times New Roman"/>
          <w:szCs w:val="24"/>
        </w:rPr>
        <w:t>e</w:t>
      </w:r>
      <w:r w:rsidR="00A226D0">
        <w:rPr>
          <w:rFonts w:cs="Times New Roman"/>
          <w:szCs w:val="24"/>
        </w:rPr>
        <w:t xml:space="preserve"> </w:t>
      </w:r>
      <w:r w:rsidR="0081773D">
        <w:rPr>
          <w:rFonts w:cs="Times New Roman"/>
          <w:szCs w:val="24"/>
        </w:rPr>
        <w:t xml:space="preserve">lack of an answer </w:t>
      </w:r>
      <w:r w:rsidR="007544CC">
        <w:rPr>
          <w:rFonts w:cs="Times New Roman"/>
          <w:szCs w:val="24"/>
        </w:rPr>
        <w:t xml:space="preserve">goes back to Petrocik’s seminal work </w:t>
      </w:r>
      <w:r w:rsidR="008E2411">
        <w:rPr>
          <w:rFonts w:cs="Times New Roman"/>
          <w:szCs w:val="24"/>
        </w:rPr>
        <w:t xml:space="preserve">(1996) </w:t>
      </w:r>
      <w:r w:rsidR="007544CC">
        <w:rPr>
          <w:rFonts w:cs="Times New Roman"/>
          <w:szCs w:val="24"/>
        </w:rPr>
        <w:t>on issue ownership</w:t>
      </w:r>
      <w:r w:rsidR="00A226D0">
        <w:rPr>
          <w:rFonts w:cs="Times New Roman"/>
          <w:szCs w:val="24"/>
        </w:rPr>
        <w:t xml:space="preserve"> where a party’s connection to an issue </w:t>
      </w:r>
      <w:r w:rsidR="006B5FFB">
        <w:rPr>
          <w:rFonts w:cs="Times New Roman"/>
          <w:szCs w:val="24"/>
        </w:rPr>
        <w:t>comes in two versions</w:t>
      </w:r>
      <w:r w:rsidR="007544CC">
        <w:rPr>
          <w:rFonts w:cs="Times New Roman"/>
          <w:szCs w:val="24"/>
        </w:rPr>
        <w:t>, one of them suggesting</w:t>
      </w:r>
      <w:r w:rsidR="00A413FD">
        <w:rPr>
          <w:rFonts w:cs="Times New Roman"/>
          <w:szCs w:val="24"/>
        </w:rPr>
        <w:t xml:space="preserve"> change</w:t>
      </w:r>
      <w:r w:rsidR="007544CC">
        <w:rPr>
          <w:rFonts w:cs="Times New Roman"/>
          <w:szCs w:val="24"/>
        </w:rPr>
        <w:t xml:space="preserve">, and the other suggesting </w:t>
      </w:r>
      <w:r w:rsidR="00A413FD">
        <w:rPr>
          <w:rFonts w:cs="Times New Roman"/>
          <w:szCs w:val="24"/>
        </w:rPr>
        <w:t>stability</w:t>
      </w:r>
      <w:r w:rsidR="007544CC">
        <w:rPr>
          <w:rFonts w:cs="Times New Roman"/>
          <w:szCs w:val="24"/>
        </w:rPr>
        <w:t xml:space="preserve">. Petrocik </w:t>
      </w:r>
      <w:r w:rsidR="0072338D" w:rsidRPr="00CC3E19">
        <w:rPr>
          <w:rFonts w:cs="Times New Roman"/>
          <w:szCs w:val="24"/>
        </w:rPr>
        <w:t>talks about “a performance-based issue ownership”</w:t>
      </w:r>
      <w:r w:rsidR="00E5154C">
        <w:rPr>
          <w:rFonts w:cs="Times New Roman"/>
          <w:szCs w:val="24"/>
        </w:rPr>
        <w:t xml:space="preserve"> which suggests change in issue ownership. Here, </w:t>
      </w:r>
      <w:r w:rsidR="0072338D" w:rsidRPr="00CC3E19">
        <w:rPr>
          <w:rFonts w:cs="Times New Roman"/>
          <w:szCs w:val="24"/>
        </w:rPr>
        <w:t>the issue-handling record of the incumbent can “provide one party with a ‘lease’ – a short-term ownership – of a performance issue”</w:t>
      </w:r>
      <w:r w:rsidR="00982B38" w:rsidRPr="00CC3E19">
        <w:rPr>
          <w:rFonts w:cs="Times New Roman"/>
          <w:szCs w:val="24"/>
        </w:rPr>
        <w:t xml:space="preserve"> (Petrocik 1996, 827)</w:t>
      </w:r>
      <w:r w:rsidR="0072338D" w:rsidRPr="00CC3E19">
        <w:rPr>
          <w:rFonts w:cs="Times New Roman"/>
          <w:szCs w:val="24"/>
        </w:rPr>
        <w:t xml:space="preserve">. He mentions wars, unemployment, and inflation as examples of this </w:t>
      </w:r>
      <w:r w:rsidR="00E5154C">
        <w:rPr>
          <w:rFonts w:cs="Times New Roman"/>
          <w:szCs w:val="24"/>
        </w:rPr>
        <w:t xml:space="preserve">variable </w:t>
      </w:r>
      <w:r w:rsidR="0072338D" w:rsidRPr="00CC3E19">
        <w:rPr>
          <w:rFonts w:cs="Times New Roman"/>
          <w:szCs w:val="24"/>
        </w:rPr>
        <w:t>type of issue</w:t>
      </w:r>
      <w:r w:rsidR="00E5154C">
        <w:rPr>
          <w:rFonts w:cs="Times New Roman"/>
          <w:szCs w:val="24"/>
        </w:rPr>
        <w:t xml:space="preserve"> ownership</w:t>
      </w:r>
      <w:r w:rsidR="00982B38" w:rsidRPr="00CC3E19">
        <w:rPr>
          <w:rFonts w:cs="Times New Roman"/>
          <w:szCs w:val="24"/>
        </w:rPr>
        <w:t>.</w:t>
      </w:r>
      <w:r w:rsidR="0072338D" w:rsidRPr="00CC3E19">
        <w:rPr>
          <w:rFonts w:cs="Times New Roman"/>
          <w:szCs w:val="24"/>
        </w:rPr>
        <w:t xml:space="preserve"> </w:t>
      </w:r>
      <w:r w:rsidR="00D71CE1">
        <w:rPr>
          <w:rFonts w:cs="Times New Roman"/>
          <w:szCs w:val="24"/>
        </w:rPr>
        <w:t xml:space="preserve">He </w:t>
      </w:r>
      <w:r w:rsidR="0072338D" w:rsidRPr="00CC3E19">
        <w:rPr>
          <w:rFonts w:cs="Times New Roman"/>
          <w:szCs w:val="24"/>
        </w:rPr>
        <w:t xml:space="preserve">also introduces a “party constituency issue ownership, [which is] much more long-term </w:t>
      </w:r>
      <w:r w:rsidR="00E5154C">
        <w:rPr>
          <w:rFonts w:cs="Times New Roman"/>
          <w:szCs w:val="24"/>
        </w:rPr>
        <w:t xml:space="preserve">and stable </w:t>
      </w:r>
      <w:r w:rsidR="0072338D" w:rsidRPr="00CC3E19">
        <w:rPr>
          <w:rFonts w:cs="Times New Roman"/>
          <w:szCs w:val="24"/>
        </w:rPr>
        <w:t>because its foundations is (1) the relatively stable, but different social bases, that distinguish party constituencies in modern party systems and (2) the link between political conflict and social structure” (</w:t>
      </w:r>
      <w:r w:rsidR="00982B38" w:rsidRPr="00CC3E19">
        <w:rPr>
          <w:rFonts w:cs="Times New Roman"/>
          <w:szCs w:val="24"/>
        </w:rPr>
        <w:t xml:space="preserve">Petrocik </w:t>
      </w:r>
      <w:r w:rsidR="0072338D" w:rsidRPr="00CC3E19">
        <w:rPr>
          <w:rFonts w:cs="Times New Roman"/>
          <w:szCs w:val="24"/>
        </w:rPr>
        <w:t xml:space="preserve">1996, 827). </w:t>
      </w:r>
      <w:r w:rsidR="00037BDF" w:rsidRPr="00CC3E19">
        <w:rPr>
          <w:rFonts w:cs="Times New Roman"/>
          <w:szCs w:val="24"/>
        </w:rPr>
        <w:t xml:space="preserve">Petrocik does not provide many examples of this latter </w:t>
      </w:r>
      <w:r w:rsidR="00821967">
        <w:rPr>
          <w:rFonts w:cs="Times New Roman"/>
          <w:szCs w:val="24"/>
        </w:rPr>
        <w:t xml:space="preserve">more stable </w:t>
      </w:r>
      <w:r w:rsidR="00037BDF" w:rsidRPr="00CC3E19">
        <w:rPr>
          <w:rFonts w:cs="Times New Roman"/>
          <w:szCs w:val="24"/>
        </w:rPr>
        <w:t xml:space="preserve">kind of issue ownership, but </w:t>
      </w:r>
      <w:r w:rsidR="00B47786" w:rsidRPr="00CC3E19">
        <w:rPr>
          <w:rFonts w:cs="Times New Roman"/>
          <w:szCs w:val="24"/>
        </w:rPr>
        <w:t>s</w:t>
      </w:r>
      <w:r w:rsidR="00037BDF" w:rsidRPr="00CC3E19">
        <w:rPr>
          <w:rFonts w:cs="Times New Roman"/>
          <w:szCs w:val="24"/>
        </w:rPr>
        <w:t>ocial democrat</w:t>
      </w:r>
      <w:r w:rsidR="00982B38" w:rsidRPr="00CC3E19">
        <w:rPr>
          <w:rFonts w:cs="Times New Roman"/>
          <w:szCs w:val="24"/>
        </w:rPr>
        <w:t>ic part</w:t>
      </w:r>
      <w:r w:rsidR="00B47786" w:rsidRPr="00CC3E19">
        <w:rPr>
          <w:rFonts w:cs="Times New Roman"/>
          <w:szCs w:val="24"/>
        </w:rPr>
        <w:t>ies’</w:t>
      </w:r>
      <w:r w:rsidR="00037BDF" w:rsidRPr="00CC3E19">
        <w:rPr>
          <w:rFonts w:cs="Times New Roman"/>
          <w:szCs w:val="24"/>
        </w:rPr>
        <w:t xml:space="preserve"> </w:t>
      </w:r>
      <w:r w:rsidR="00982B38" w:rsidRPr="00CC3E19">
        <w:rPr>
          <w:rFonts w:cs="Times New Roman"/>
          <w:szCs w:val="24"/>
        </w:rPr>
        <w:t xml:space="preserve">reputation on welfare and </w:t>
      </w:r>
      <w:r w:rsidR="00B47786" w:rsidRPr="00CC3E19">
        <w:rPr>
          <w:rFonts w:cs="Times New Roman"/>
          <w:szCs w:val="24"/>
        </w:rPr>
        <w:t>their</w:t>
      </w:r>
      <w:r w:rsidR="00982B38" w:rsidRPr="00CC3E19">
        <w:rPr>
          <w:rFonts w:cs="Times New Roman"/>
          <w:szCs w:val="24"/>
        </w:rPr>
        <w:t xml:space="preserve"> </w:t>
      </w:r>
      <w:r w:rsidR="00037BDF" w:rsidRPr="00CC3E19">
        <w:rPr>
          <w:rFonts w:cs="Times New Roman"/>
          <w:szCs w:val="24"/>
        </w:rPr>
        <w:t>efforts to promote the interest of the low-skilled and low-paid, namely to foster redistribution through welfare programs and provide safety from the market comes to mind</w:t>
      </w:r>
      <w:r w:rsidR="00C32EE3">
        <w:rPr>
          <w:rFonts w:cs="Times New Roman"/>
          <w:szCs w:val="24"/>
        </w:rPr>
        <w:t xml:space="preserve"> </w:t>
      </w:r>
      <w:r w:rsidR="00C32EE3" w:rsidRPr="00CC3E19">
        <w:rPr>
          <w:rFonts w:cs="Times New Roman"/>
          <w:szCs w:val="24"/>
        </w:rPr>
        <w:fldChar w:fldCharType="begin"/>
      </w:r>
      <w:r w:rsidR="00C32EE3">
        <w:rPr>
          <w:rFonts w:cs="Times New Roman"/>
          <w:szCs w:val="24"/>
        </w:rPr>
        <w:instrText xml:space="preserve"> ADDIN ZOTERO_ITEM CSL_CITATION {"citationID":"eMWMVkCL","properties":{"formattedCitation":"(Hibbs 1977)","plainCitation":"(Hibbs 1977)"},"citationItems":[{"id":156,"uris":["http://zotero.org/users/local/7eX6MhG9/items/7V4R5BHJ"],"uri":["http://zotero.org/users/local/7eX6MhG9/items/7V4R5BHJ"],"itemData":{"id":156,"type":"article-journal","title":"Political Parties and Macroeconomic Policy","container-title":"American Political Science Review","page":"1467–87","volume":"71","issue":"4","author":[{"family":"Hibbs","given":"Douglas"}],"issued":{"date-parts":[["1977"]]}}}],"schema":"https://github.com/citation-style-language/schema/raw/master/csl-citation.json"} </w:instrText>
      </w:r>
      <w:r w:rsidR="00C32EE3" w:rsidRPr="00CC3E19">
        <w:rPr>
          <w:rFonts w:cs="Times New Roman"/>
          <w:szCs w:val="24"/>
        </w:rPr>
        <w:fldChar w:fldCharType="separate"/>
      </w:r>
      <w:r w:rsidR="00C32EE3" w:rsidRPr="00C32EE3">
        <w:rPr>
          <w:rFonts w:cs="Times New Roman"/>
        </w:rPr>
        <w:t>(Hibbs 1977)</w:t>
      </w:r>
      <w:r w:rsidR="00C32EE3" w:rsidRPr="00CC3E19">
        <w:rPr>
          <w:rFonts w:cs="Times New Roman"/>
          <w:szCs w:val="24"/>
        </w:rPr>
        <w:fldChar w:fldCharType="end"/>
      </w:r>
      <w:r w:rsidR="00037BDF" w:rsidRPr="00CC3E19">
        <w:rPr>
          <w:rFonts w:cs="Times New Roman"/>
          <w:szCs w:val="24"/>
        </w:rPr>
        <w:t xml:space="preserve">. </w:t>
      </w:r>
      <w:r w:rsidR="00A413FD">
        <w:rPr>
          <w:rFonts w:cs="Times New Roman"/>
          <w:szCs w:val="24"/>
        </w:rPr>
        <w:t>I</w:t>
      </w:r>
      <w:r w:rsidR="00943F8C" w:rsidRPr="00CC3E19">
        <w:rPr>
          <w:rFonts w:cs="Times New Roman"/>
          <w:szCs w:val="24"/>
        </w:rPr>
        <w:t>n Petrocik’s optic,</w:t>
      </w:r>
      <w:r w:rsidR="007C6733" w:rsidRPr="00CC3E19">
        <w:rPr>
          <w:rFonts w:cs="Times New Roman"/>
          <w:szCs w:val="24"/>
        </w:rPr>
        <w:t xml:space="preserve"> </w:t>
      </w:r>
      <w:r w:rsidR="00AB09EC">
        <w:rPr>
          <w:rFonts w:cs="Times New Roman"/>
          <w:szCs w:val="24"/>
        </w:rPr>
        <w:t>some</w:t>
      </w:r>
      <w:r w:rsidR="00F526E6" w:rsidRPr="00CC3E19">
        <w:rPr>
          <w:rFonts w:cs="Times New Roman"/>
          <w:szCs w:val="24"/>
        </w:rPr>
        <w:t xml:space="preserve"> issues belong to </w:t>
      </w:r>
      <w:r w:rsidR="00372568" w:rsidRPr="00CC3E19">
        <w:rPr>
          <w:rFonts w:cs="Times New Roman"/>
          <w:szCs w:val="24"/>
        </w:rPr>
        <w:t>the short-term category</w:t>
      </w:r>
      <w:r w:rsidR="00F526E6" w:rsidRPr="00CC3E19">
        <w:rPr>
          <w:rFonts w:cs="Times New Roman"/>
          <w:szCs w:val="24"/>
        </w:rPr>
        <w:t xml:space="preserve"> and </w:t>
      </w:r>
      <w:r w:rsidR="00AB09EC">
        <w:rPr>
          <w:rFonts w:cs="Times New Roman"/>
          <w:szCs w:val="24"/>
        </w:rPr>
        <w:t xml:space="preserve">others belong </w:t>
      </w:r>
      <w:r w:rsidR="00F526E6" w:rsidRPr="00CC3E19">
        <w:rPr>
          <w:rFonts w:cs="Times New Roman"/>
          <w:szCs w:val="24"/>
        </w:rPr>
        <w:t xml:space="preserve">to </w:t>
      </w:r>
      <w:r w:rsidR="001B07DA" w:rsidRPr="00CC3E19">
        <w:rPr>
          <w:rFonts w:cs="Times New Roman"/>
          <w:szCs w:val="24"/>
        </w:rPr>
        <w:t>the long-term category</w:t>
      </w:r>
      <w:r w:rsidR="00943F8C" w:rsidRPr="00CC3E19">
        <w:rPr>
          <w:rFonts w:cs="Times New Roman"/>
          <w:szCs w:val="24"/>
        </w:rPr>
        <w:t>.</w:t>
      </w:r>
      <w:r>
        <w:rPr>
          <w:rFonts w:cs="Times New Roman"/>
          <w:szCs w:val="24"/>
        </w:rPr>
        <w:t xml:space="preserve"> </w:t>
      </w:r>
      <w:r w:rsidR="00D71CE1">
        <w:rPr>
          <w:rFonts w:cs="Times New Roman"/>
          <w:szCs w:val="24"/>
        </w:rPr>
        <w:t xml:space="preserve">Such distinction </w:t>
      </w:r>
      <w:r w:rsidR="00C81D7A">
        <w:rPr>
          <w:rFonts w:cs="Times New Roman"/>
          <w:szCs w:val="24"/>
        </w:rPr>
        <w:t xml:space="preserve">inevitably </w:t>
      </w:r>
      <w:r w:rsidR="00D71CE1">
        <w:rPr>
          <w:rFonts w:cs="Times New Roman"/>
          <w:szCs w:val="24"/>
        </w:rPr>
        <w:t xml:space="preserve">raises the questions: Can all </w:t>
      </w:r>
      <w:r w:rsidR="00A226D0">
        <w:rPr>
          <w:rFonts w:cs="Times New Roman"/>
          <w:szCs w:val="24"/>
        </w:rPr>
        <w:t>issue</w:t>
      </w:r>
      <w:r w:rsidR="00D71CE1">
        <w:rPr>
          <w:rFonts w:cs="Times New Roman"/>
          <w:szCs w:val="24"/>
        </w:rPr>
        <w:t>s</w:t>
      </w:r>
      <w:r w:rsidR="00A226D0">
        <w:rPr>
          <w:rFonts w:cs="Times New Roman"/>
          <w:szCs w:val="24"/>
        </w:rPr>
        <w:t xml:space="preserve"> be categorized </w:t>
      </w:r>
      <w:r w:rsidR="00D71CE1">
        <w:rPr>
          <w:rFonts w:cs="Times New Roman"/>
          <w:szCs w:val="24"/>
        </w:rPr>
        <w:t>as either stable or unstable, or do some fall in between?</w:t>
      </w:r>
      <w:r w:rsidR="00A226D0">
        <w:rPr>
          <w:rFonts w:cs="Times New Roman"/>
          <w:szCs w:val="24"/>
        </w:rPr>
        <w:t xml:space="preserve"> </w:t>
      </w:r>
      <w:r w:rsidR="00C81D7A">
        <w:rPr>
          <w:rFonts w:cs="Times New Roman"/>
          <w:szCs w:val="24"/>
        </w:rPr>
        <w:t>Do</w:t>
      </w:r>
      <w:r w:rsidR="00D71CE1">
        <w:rPr>
          <w:rFonts w:cs="Times New Roman"/>
          <w:szCs w:val="24"/>
        </w:rPr>
        <w:t xml:space="preserve"> </w:t>
      </w:r>
      <w:r w:rsidR="00C32EE3">
        <w:rPr>
          <w:rFonts w:cs="Times New Roman"/>
          <w:szCs w:val="24"/>
        </w:rPr>
        <w:t xml:space="preserve">some </w:t>
      </w:r>
      <w:r w:rsidR="00D71CE1">
        <w:rPr>
          <w:rFonts w:cs="Times New Roman"/>
          <w:szCs w:val="24"/>
        </w:rPr>
        <w:t>issue</w:t>
      </w:r>
      <w:r w:rsidR="00C81D7A">
        <w:rPr>
          <w:rFonts w:cs="Times New Roman"/>
          <w:szCs w:val="24"/>
        </w:rPr>
        <w:t>s</w:t>
      </w:r>
      <w:r w:rsidR="00D71CE1">
        <w:rPr>
          <w:rFonts w:cs="Times New Roman"/>
          <w:szCs w:val="24"/>
        </w:rPr>
        <w:t xml:space="preserve"> change category over time? </w:t>
      </w:r>
      <w:r w:rsidR="00C81D7A">
        <w:rPr>
          <w:rFonts w:cs="Times New Roman"/>
          <w:szCs w:val="24"/>
        </w:rPr>
        <w:t>Are some</w:t>
      </w:r>
      <w:r w:rsidR="00D71CE1">
        <w:rPr>
          <w:rFonts w:cs="Times New Roman"/>
          <w:szCs w:val="24"/>
        </w:rPr>
        <w:t xml:space="preserve"> issue</w:t>
      </w:r>
      <w:r w:rsidR="00C32EE3">
        <w:rPr>
          <w:rFonts w:cs="Times New Roman"/>
          <w:szCs w:val="24"/>
        </w:rPr>
        <w:t>s</w:t>
      </w:r>
      <w:r w:rsidR="00D71CE1">
        <w:rPr>
          <w:rFonts w:cs="Times New Roman"/>
          <w:szCs w:val="24"/>
        </w:rPr>
        <w:t xml:space="preserve"> in different categories across countries? </w:t>
      </w:r>
      <w:r w:rsidR="00454016">
        <w:rPr>
          <w:rFonts w:cs="Times New Roman"/>
          <w:szCs w:val="24"/>
        </w:rPr>
        <w:t>These are key question</w:t>
      </w:r>
      <w:r w:rsidR="00465904">
        <w:rPr>
          <w:rFonts w:cs="Times New Roman"/>
          <w:szCs w:val="24"/>
        </w:rPr>
        <w:t>s</w:t>
      </w:r>
      <w:r w:rsidR="00454016">
        <w:rPr>
          <w:rFonts w:cs="Times New Roman"/>
          <w:szCs w:val="24"/>
        </w:rPr>
        <w:t xml:space="preserve"> </w:t>
      </w:r>
      <w:r w:rsidR="00701DA2">
        <w:rPr>
          <w:rFonts w:cs="Times New Roman"/>
          <w:szCs w:val="24"/>
        </w:rPr>
        <w:t xml:space="preserve">for the </w:t>
      </w:r>
      <w:r w:rsidR="00454016">
        <w:rPr>
          <w:rFonts w:cs="Times New Roman"/>
          <w:szCs w:val="24"/>
        </w:rPr>
        <w:t>understand</w:t>
      </w:r>
      <w:r w:rsidR="00701DA2">
        <w:rPr>
          <w:rFonts w:cs="Times New Roman"/>
          <w:szCs w:val="24"/>
        </w:rPr>
        <w:t>ing of</w:t>
      </w:r>
      <w:r w:rsidR="00454016">
        <w:rPr>
          <w:rFonts w:cs="Times New Roman"/>
          <w:szCs w:val="24"/>
        </w:rPr>
        <w:t xml:space="preserve"> </w:t>
      </w:r>
      <w:r w:rsidR="00C32EE3">
        <w:rPr>
          <w:rFonts w:cs="Times New Roman"/>
          <w:szCs w:val="24"/>
        </w:rPr>
        <w:t xml:space="preserve">the general </w:t>
      </w:r>
      <w:r w:rsidR="00454016">
        <w:rPr>
          <w:rFonts w:cs="Times New Roman"/>
          <w:szCs w:val="24"/>
        </w:rPr>
        <w:t xml:space="preserve">stability </w:t>
      </w:r>
      <w:r w:rsidR="00A413FD">
        <w:rPr>
          <w:rFonts w:cs="Times New Roman"/>
          <w:szCs w:val="24"/>
        </w:rPr>
        <w:t>of</w:t>
      </w:r>
      <w:r w:rsidR="00454016">
        <w:rPr>
          <w:rFonts w:cs="Times New Roman"/>
          <w:szCs w:val="24"/>
        </w:rPr>
        <w:t xml:space="preserve"> issue ownership. </w:t>
      </w:r>
      <w:r w:rsidR="00701DA2">
        <w:rPr>
          <w:rFonts w:cs="Times New Roman"/>
          <w:szCs w:val="24"/>
        </w:rPr>
        <w:t>It is the aim of this paper to seek an answer.</w:t>
      </w:r>
      <w:r w:rsidR="00A226D0">
        <w:rPr>
          <w:rFonts w:cs="Times New Roman"/>
          <w:szCs w:val="24"/>
        </w:rPr>
        <w:t xml:space="preserve"> </w:t>
      </w:r>
    </w:p>
    <w:p w:rsidR="006F3182" w:rsidRPr="00CC3E19" w:rsidRDefault="00454016" w:rsidP="00CC3E19">
      <w:pPr>
        <w:ind w:firstLine="567"/>
        <w:rPr>
          <w:rFonts w:cs="Times New Roman"/>
          <w:szCs w:val="24"/>
        </w:rPr>
      </w:pPr>
      <w:r>
        <w:rPr>
          <w:rFonts w:cs="Times New Roman"/>
          <w:szCs w:val="24"/>
        </w:rPr>
        <w:t xml:space="preserve">Over the last two decades, the interest in </w:t>
      </w:r>
      <w:r w:rsidR="00A43AB6">
        <w:rPr>
          <w:rFonts w:cs="Times New Roman"/>
          <w:szCs w:val="24"/>
        </w:rPr>
        <w:t xml:space="preserve">Petrocik’s </w:t>
      </w:r>
      <w:r w:rsidR="007941DB">
        <w:rPr>
          <w:rFonts w:cs="Times New Roman"/>
          <w:szCs w:val="24"/>
        </w:rPr>
        <w:t>two versions of</w:t>
      </w:r>
      <w:r w:rsidR="00A43AB6">
        <w:rPr>
          <w:rFonts w:cs="Times New Roman"/>
          <w:szCs w:val="24"/>
        </w:rPr>
        <w:t xml:space="preserve"> issue ownership and the questions </w:t>
      </w:r>
      <w:r w:rsidR="00B82CB9">
        <w:rPr>
          <w:rFonts w:cs="Times New Roman"/>
          <w:szCs w:val="24"/>
        </w:rPr>
        <w:t>his distinction</w:t>
      </w:r>
      <w:r w:rsidR="00A43AB6">
        <w:rPr>
          <w:rFonts w:cs="Times New Roman"/>
          <w:szCs w:val="24"/>
        </w:rPr>
        <w:t xml:space="preserve"> raises </w:t>
      </w:r>
      <w:r>
        <w:rPr>
          <w:rFonts w:cs="Times New Roman"/>
          <w:szCs w:val="24"/>
        </w:rPr>
        <w:t xml:space="preserve">has been modest. </w:t>
      </w:r>
      <w:r w:rsidR="006F3182" w:rsidRPr="00CC3E19">
        <w:rPr>
          <w:rFonts w:cs="Times New Roman"/>
          <w:szCs w:val="24"/>
        </w:rPr>
        <w:t xml:space="preserve">Lately, </w:t>
      </w:r>
      <w:r w:rsidR="00D71CE1">
        <w:rPr>
          <w:rFonts w:cs="Times New Roman"/>
          <w:szCs w:val="24"/>
        </w:rPr>
        <w:t xml:space="preserve">the lack of clarity </w:t>
      </w:r>
      <w:r w:rsidR="005147FF">
        <w:rPr>
          <w:rFonts w:cs="Times New Roman"/>
          <w:szCs w:val="24"/>
        </w:rPr>
        <w:t xml:space="preserve">on the stability of issue ownership </w:t>
      </w:r>
      <w:r w:rsidR="006F3182" w:rsidRPr="00CC3E19">
        <w:rPr>
          <w:rFonts w:cs="Times New Roman"/>
          <w:szCs w:val="24"/>
        </w:rPr>
        <w:t xml:space="preserve">has </w:t>
      </w:r>
      <w:r w:rsidR="00DE4C19" w:rsidRPr="00CC3E19">
        <w:rPr>
          <w:rFonts w:cs="Times New Roman"/>
          <w:szCs w:val="24"/>
        </w:rPr>
        <w:t xml:space="preserve">become </w:t>
      </w:r>
      <w:r w:rsidR="006F3182" w:rsidRPr="00CC3E19">
        <w:rPr>
          <w:rFonts w:cs="Times New Roman"/>
          <w:szCs w:val="24"/>
        </w:rPr>
        <w:t xml:space="preserve">a question of definition </w:t>
      </w:r>
      <w:r w:rsidR="006F3182" w:rsidRPr="00CC3E19">
        <w:rPr>
          <w:rFonts w:cs="Times New Roman"/>
          <w:szCs w:val="24"/>
        </w:rPr>
        <w:fldChar w:fldCharType="begin"/>
      </w:r>
      <w:r w:rsidR="00C32EE3">
        <w:rPr>
          <w:rFonts w:cs="Times New Roman"/>
          <w:szCs w:val="24"/>
        </w:rPr>
        <w:instrText xml:space="preserve"> ADDIN ZOTERO_ITEM CSL_CITATION {"citationID":"Gd438WWx","properties":{"formattedCitation":"(Walgrave, Tresch, and Lefevere 2015; Walgrave, Lefevere, and Tresch 2012; Camp et al. 2014; Tresch, Lefevere, and Walgrave 2012; Therriault 2015; Stubager and Slothuus 2013)","plainCitation":"(Walgrave, Tresch, and Lefevere 2015; Walgrave, Lefevere, and Tresch 2012; Camp et al. 2014; Tresch, Lefevere, and Walgrave 2012; Therriault 2015; Stubager and Slothuus 2013)"},"citationItems":[{"id":934,"uris":["http://zotero.org/users/local/7eX6MhG9/items/3HNT367I"],"uri":["http://zotero.org/users/local/7eX6MhG9/items/3HNT367I"],"itemData":{"id":934,"type":"article-journal","title":"The Conceptualisation and Measurement of Issue Ownership","container-title":"West European Politics","page":"778-796","volume":"38","issue":"4","source":"Taylor and Francis+NEJM","abstract":"Issue ownership means that some parties are considered by the public at large as being more able to deal with, or more attentive to, certain issues. The theory has been used to explain both party behaviour – parties are expected to focus on owned issues – and voter behaviour – when a voter considers a party to own an issue, this affects the odds of voting for that party. The purpose of this article is, first, to provide a look backward at the existing research through a literature review of the studies that were conducted in the past decade-and-a-half. Secondly, it takes stock of the current conceptualisation and argues that issue ownership is a multidimensional concept. Thereafter the article discusses how this multidimensionality affects both the role of issue ownership in voter and in party behaviour. Finally, the article outlines a number of shortcomings of the extant literature and discusses potential avenues for future research.","ISSN":"0140-2382","author":[{"family":"Walgrave","given":"Stefaan"},{"family":"Tresch","given":"Anke"},{"family":"Lefevere","given":"Jonas"}],"issued":{"date-parts":[["2015",7,4]]}}},{"id":260,"uris":["http://zotero.org/users/local/7eX6MhG9/items/STUDEUN2"],"uri":["http://zotero.org/users/local/7eX6MhG9/items/STUDEUN2"],"itemData":{"id":260,"type":"article-journal","title":"The Associative Dimension of Issue Ownership","container-title":"Public Opinion Quarterly","page":"771–782","volume":"76","issue":"4","author":[{"family":"Walgrave","given":"Stefaan"},{"family":"Lefevere","given":"Jonas"},{"family":"Tresch","given":"Anke"}],"issued":{"date-parts":[["2012"]]}}},{"id":448,"uris":["http://zotero.org/users/local/7eX6MhG9/items/8RSMDFDA"],"uri":["http://zotero.org/users/local/7eX6MhG9/items/8RSMDFDA"],"itemData":{"id":448,"type":"article-journal","title":"Measuring Issue Ownership. A Question Wording Experiment.","container-title":"manuscript","author":[{"family":"Camp","given":"Kirsten"},{"family":"Walgrave","given":"Stefaan"},{"family":"Lefevere","given":"Jonas"},{"family":"Tresch","given":"Anke"}],"issued":{"date-parts":[["2014"]]}}},{"id":249,"uris":["http://zotero.org/users/local/7eX6MhG9/items/VIAG67NI"],"uri":["http://zotero.org/users/local/7eX6MhG9/items/VIAG67NI"],"itemData":{"id":249,"type":"article-journal","title":"Steal me if you can! The impact of campaign messages on associative issue ownership'","container-title":"Party Politics","volume":"30","author":[{"family":"Tresch","given":"Anke"},{"family":"Lefevere","given":"Jonas"},{"family":"Walgrave","given":"Stefaan"}],"issued":{"date-parts":[["2012"]]}}},{"id":882,"uris":["http://zotero.org/users/local/7eX6MhG9/items/VH8JG9KG"],"uri":["http://zotero.org/users/local/7eX6MhG9/items/VH8JG9KG"],"itemData":{"id":882,"type":"article-journal","title":"Whose Issue Is It Anyway? A New Look at the Meaning and Measurement of Issue Ownership","container-title":"British Journal of Political Science","page":"929-938","volume":"45","issue":"4","source":"Cambridge Journals Online","shortTitle":"Whose Issue Is It Anyway?","author":[{"family":"Therriault","given":"Andrew"}],"issued":{"date-parts":[["2015",4]]}}},{"id":317,"uris":["http://zotero.org/users/local/7eX6MhG9/items/JQWMF23K"],"uri":["http://zotero.org/users/local/7eX6MhG9/items/JQWMF23K"],"itemData":{"id":317,"type":"article-journal","title":"What are the Sources of Political Parties' Issue Ownership? Testing Four Explanations at the Individual Level","container-title":"Political Behavior","page":"567–88","volume":"35","issue":"3","author":[{"family":"Stubager","given":"Rune"},{"family":"Slothuus","given":"Rune"}],"issued":{"date-parts":[["2013"]]}}}],"schema":"https://github.com/citation-style-language/schema/raw/master/csl-citation.json"} </w:instrText>
      </w:r>
      <w:r w:rsidR="006F3182" w:rsidRPr="00CC3E19">
        <w:rPr>
          <w:rFonts w:cs="Times New Roman"/>
          <w:szCs w:val="24"/>
        </w:rPr>
        <w:fldChar w:fldCharType="separate"/>
      </w:r>
      <w:r w:rsidR="00C700AC" w:rsidRPr="00CC3E19">
        <w:rPr>
          <w:rFonts w:cs="Times New Roman"/>
          <w:szCs w:val="24"/>
        </w:rPr>
        <w:t>(Walgrave, Tresch, and Lefevere 2015; Walgrave, Lefevere, and Tresch 2012; Camp et al. 2014; Tresch, Lefevere, and Walgrave 2012; Therriault 2015; Stubager and Slothuus 2013)</w:t>
      </w:r>
      <w:r w:rsidR="006F3182" w:rsidRPr="00CC3E19">
        <w:rPr>
          <w:rFonts w:cs="Times New Roman"/>
          <w:szCs w:val="24"/>
        </w:rPr>
        <w:fldChar w:fldCharType="end"/>
      </w:r>
      <w:r w:rsidR="006F3182" w:rsidRPr="00CC3E19">
        <w:rPr>
          <w:rFonts w:cs="Times New Roman"/>
          <w:szCs w:val="24"/>
        </w:rPr>
        <w:t>. Survey</w:t>
      </w:r>
      <w:r w:rsidR="00DF4942" w:rsidRPr="00CC3E19">
        <w:rPr>
          <w:rFonts w:cs="Times New Roman"/>
          <w:szCs w:val="24"/>
        </w:rPr>
        <w:t xml:space="preserve"> </w:t>
      </w:r>
      <w:r w:rsidR="006F3182" w:rsidRPr="00CC3E19">
        <w:rPr>
          <w:rFonts w:cs="Times New Roman"/>
          <w:szCs w:val="24"/>
        </w:rPr>
        <w:t>experiments stemming from this exercise come close to reproduc</w:t>
      </w:r>
      <w:r w:rsidR="00DF4942" w:rsidRPr="00CC3E19">
        <w:rPr>
          <w:rFonts w:cs="Times New Roman"/>
          <w:szCs w:val="24"/>
        </w:rPr>
        <w:t>ing</w:t>
      </w:r>
      <w:r w:rsidR="006F3182" w:rsidRPr="00CC3E19">
        <w:rPr>
          <w:rFonts w:cs="Times New Roman"/>
          <w:szCs w:val="24"/>
        </w:rPr>
        <w:t xml:space="preserve"> Petrocik’s </w:t>
      </w:r>
      <w:r w:rsidR="00D71CE1">
        <w:rPr>
          <w:rFonts w:cs="Times New Roman"/>
          <w:szCs w:val="24"/>
        </w:rPr>
        <w:t>two versions</w:t>
      </w:r>
      <w:r w:rsidR="006F3182" w:rsidRPr="00CC3E19">
        <w:rPr>
          <w:rFonts w:cs="Times New Roman"/>
          <w:szCs w:val="24"/>
        </w:rPr>
        <w:t xml:space="preserve"> of issue ownership by identifying </w:t>
      </w:r>
      <w:r w:rsidR="00A43AB6">
        <w:rPr>
          <w:rFonts w:cs="Times New Roman"/>
          <w:szCs w:val="24"/>
        </w:rPr>
        <w:t xml:space="preserve">a handling </w:t>
      </w:r>
      <w:r w:rsidR="006F3182" w:rsidRPr="00CC3E19">
        <w:rPr>
          <w:rFonts w:cs="Times New Roman"/>
          <w:szCs w:val="24"/>
        </w:rPr>
        <w:t xml:space="preserve">issue ownership as opposed to </w:t>
      </w:r>
      <w:r w:rsidR="00A43AB6" w:rsidRPr="00CC3E19">
        <w:rPr>
          <w:rFonts w:cs="Times New Roman"/>
          <w:szCs w:val="24"/>
        </w:rPr>
        <w:t xml:space="preserve">an associative </w:t>
      </w:r>
      <w:r w:rsidR="006F3182" w:rsidRPr="00CC3E19">
        <w:rPr>
          <w:rFonts w:cs="Times New Roman"/>
          <w:szCs w:val="24"/>
        </w:rPr>
        <w:t>issue ownership</w:t>
      </w:r>
      <w:r w:rsidR="008E2411">
        <w:rPr>
          <w:rFonts w:cs="Times New Roman"/>
          <w:szCs w:val="24"/>
        </w:rPr>
        <w:t xml:space="preserve"> for each issue</w:t>
      </w:r>
      <w:r w:rsidR="006F3182" w:rsidRPr="00CC3E19">
        <w:rPr>
          <w:rFonts w:cs="Times New Roman"/>
          <w:szCs w:val="24"/>
        </w:rPr>
        <w:t xml:space="preserve">. </w:t>
      </w:r>
      <w:r w:rsidR="00465904">
        <w:rPr>
          <w:rFonts w:cs="Times New Roman"/>
          <w:szCs w:val="24"/>
        </w:rPr>
        <w:t>T</w:t>
      </w:r>
      <w:r w:rsidR="006F3182" w:rsidRPr="00CC3E19">
        <w:rPr>
          <w:rFonts w:cs="Times New Roman"/>
          <w:szCs w:val="24"/>
        </w:rPr>
        <w:t xml:space="preserve">he experiments </w:t>
      </w:r>
      <w:r w:rsidR="00DF3D68">
        <w:rPr>
          <w:rFonts w:cs="Times New Roman"/>
          <w:szCs w:val="24"/>
        </w:rPr>
        <w:t>indicate</w:t>
      </w:r>
      <w:r w:rsidR="006F3182" w:rsidRPr="00CC3E19">
        <w:rPr>
          <w:rFonts w:cs="Times New Roman"/>
          <w:szCs w:val="24"/>
        </w:rPr>
        <w:t xml:space="preserve"> that the </w:t>
      </w:r>
      <w:r w:rsidR="00A413FD">
        <w:rPr>
          <w:rFonts w:cs="Times New Roman"/>
          <w:szCs w:val="24"/>
        </w:rPr>
        <w:t>latter</w:t>
      </w:r>
      <w:r w:rsidR="006F3182" w:rsidRPr="00CC3E19">
        <w:rPr>
          <w:rFonts w:cs="Times New Roman"/>
          <w:szCs w:val="24"/>
        </w:rPr>
        <w:t xml:space="preserve"> features much more stability than the </w:t>
      </w:r>
      <w:r w:rsidR="00A413FD">
        <w:rPr>
          <w:rFonts w:cs="Times New Roman"/>
          <w:szCs w:val="24"/>
        </w:rPr>
        <w:t>former</w:t>
      </w:r>
      <w:r w:rsidR="006F3182" w:rsidRPr="00CC3E19">
        <w:rPr>
          <w:rFonts w:cs="Times New Roman"/>
          <w:szCs w:val="24"/>
        </w:rPr>
        <w:t>. However, carried out at the individual level, these experiments do not tell whether issue ownership as a macro phenomenon that decides winners and loser at elections is stable or not, and even the stability of the handling</w:t>
      </w:r>
      <w:r w:rsidR="00126FC2" w:rsidRPr="00CC3E19">
        <w:rPr>
          <w:rFonts w:cs="Times New Roman"/>
          <w:szCs w:val="24"/>
        </w:rPr>
        <w:t xml:space="preserve"> </w:t>
      </w:r>
      <w:r w:rsidR="006F3182" w:rsidRPr="00CC3E19">
        <w:rPr>
          <w:rFonts w:cs="Times New Roman"/>
          <w:szCs w:val="24"/>
        </w:rPr>
        <w:t>part of issue ownership may be underestimated</w:t>
      </w:r>
      <w:r w:rsidR="002136CA" w:rsidRPr="00CC3E19">
        <w:rPr>
          <w:rFonts w:cs="Times New Roman"/>
          <w:szCs w:val="24"/>
        </w:rPr>
        <w:t xml:space="preserve"> </w:t>
      </w:r>
      <w:r w:rsidR="002136CA" w:rsidRPr="00CC3E19">
        <w:rPr>
          <w:rFonts w:cs="Times New Roman"/>
          <w:szCs w:val="24"/>
        </w:rPr>
        <w:fldChar w:fldCharType="begin"/>
      </w:r>
      <w:r w:rsidR="00C32EE3">
        <w:rPr>
          <w:rFonts w:cs="Times New Roman"/>
          <w:szCs w:val="24"/>
        </w:rPr>
        <w:instrText xml:space="preserve"> ADDIN ZOTERO_ITEM CSL_CITATION {"citationID":"BfvEdwbP","properties":{"formattedCitation":"(see also Kleinnijenhuis and Walter 2014)","plainCitation":"(see also Kleinnijenhuis and Walter 2014)"},"citationItems":[{"id":570,"uris":["http://zotero.org/users/local/7eX6MhG9/items/UXE6M2A8"],"uri":["http://zotero.org/users/local/7eX6MhG9/items/UXE6M2A8"],"itemData":{"id":570,"type":"article-journal","title":"News, Discussion, and Associative Issue Ownership: Instability at the Micro Level versus Stability at the Macro Level","container-title":"The International Journal of Press/Politics","page":"1-20","source":"hij.sagepub.com","abstract":"Associative issue ownership refers to one of the prerequisites for representative democracy—public awareness of the issue priorities of competing political parties. This article addresses the question of how the instability of associative issue ownership at the micro level of individual voters, which could be due in part to election news and political discussion, adds up to the relative stability of associative issue ownership at the macro level. The data come from a panel survey and a content analysis of newspapers and television news bulletins in the 2010 Dutch Parliamentary Election Campaign. Cross-nested multilevel logistic regression models were applied to estimate the impact of political news and political discussion on different respondents for different parties and issues. The findings show how contagion, by traditional issue ownership associations, explains the relative stability at the macro level in spite of volatility at the micro level. Campaign news and political discussion increase the likelihood of contagion by traditional issue priorities of political parties, while also evoking change due to their convergence on the issues of the campaign, from which the parties that own these issues take advantage, among others the VVD and the PVV in the 2010 campaign.","ISSN":"1940-1612, 1940-1620","shortTitle":"News, Discussion, and Associative Issue Ownership","journalAbbreviation":"The International Journal of Press/Politics","language":"en","author":[{"family":"Kleinnijenhuis","given":"Jan"},{"family":"Walter","given":"Annemarie"}],"issued":{"date-parts":[["2014",2,12]]}},"prefix":"see also "}],"schema":"https://github.com/citation-style-language/schema/raw/master/csl-citation.json"} </w:instrText>
      </w:r>
      <w:r w:rsidR="002136CA" w:rsidRPr="00CC3E19">
        <w:rPr>
          <w:rFonts w:cs="Times New Roman"/>
          <w:szCs w:val="24"/>
        </w:rPr>
        <w:fldChar w:fldCharType="separate"/>
      </w:r>
      <w:r w:rsidR="002136CA" w:rsidRPr="00CC3E19">
        <w:rPr>
          <w:rFonts w:cs="Times New Roman"/>
          <w:szCs w:val="24"/>
        </w:rPr>
        <w:t>(see also Kleinnijenhuis and Walter 2014)</w:t>
      </w:r>
      <w:r w:rsidR="002136CA" w:rsidRPr="00CC3E19">
        <w:rPr>
          <w:rFonts w:cs="Times New Roman"/>
          <w:szCs w:val="24"/>
        </w:rPr>
        <w:fldChar w:fldCharType="end"/>
      </w:r>
      <w:r w:rsidR="006F3182" w:rsidRPr="00CC3E19">
        <w:rPr>
          <w:rFonts w:cs="Times New Roman"/>
          <w:szCs w:val="24"/>
        </w:rPr>
        <w:t xml:space="preserve">. </w:t>
      </w:r>
      <w:r w:rsidR="00C754E8" w:rsidRPr="00CC3E19">
        <w:rPr>
          <w:rFonts w:cs="Times New Roman"/>
          <w:szCs w:val="24"/>
        </w:rPr>
        <w:t>The degree of stability</w:t>
      </w:r>
      <w:r w:rsidR="006F3182" w:rsidRPr="00CC3E19">
        <w:rPr>
          <w:rFonts w:cs="Times New Roman"/>
          <w:szCs w:val="24"/>
        </w:rPr>
        <w:t xml:space="preserve"> remains an empirical </w:t>
      </w:r>
      <w:r w:rsidR="00126FC2" w:rsidRPr="00CC3E19">
        <w:rPr>
          <w:rFonts w:cs="Times New Roman"/>
          <w:szCs w:val="24"/>
        </w:rPr>
        <w:t xml:space="preserve">rather </w:t>
      </w:r>
      <w:r w:rsidR="006F3182" w:rsidRPr="00CC3E19">
        <w:rPr>
          <w:rFonts w:cs="Times New Roman"/>
          <w:szCs w:val="24"/>
        </w:rPr>
        <w:t>than a definitional question.</w:t>
      </w:r>
    </w:p>
    <w:p w:rsidR="00C81D7A" w:rsidRDefault="00A413FD" w:rsidP="00CC3E19">
      <w:pPr>
        <w:ind w:firstLine="720"/>
        <w:rPr>
          <w:rFonts w:cs="Times New Roman"/>
          <w:szCs w:val="24"/>
        </w:rPr>
      </w:pPr>
      <w:r>
        <w:rPr>
          <w:rFonts w:cs="Times New Roman"/>
          <w:szCs w:val="24"/>
        </w:rPr>
        <w:t xml:space="preserve">Although empirical </w:t>
      </w:r>
      <w:r w:rsidR="00165726">
        <w:rPr>
          <w:rFonts w:cs="Times New Roman"/>
          <w:szCs w:val="24"/>
        </w:rPr>
        <w:t>research</w:t>
      </w:r>
      <w:r>
        <w:rPr>
          <w:rFonts w:cs="Times New Roman"/>
          <w:szCs w:val="24"/>
        </w:rPr>
        <w:t xml:space="preserve"> on issue ownership is currently a growth industry</w:t>
      </w:r>
      <w:r w:rsidR="0071747B">
        <w:rPr>
          <w:rFonts w:cs="Times New Roman"/>
          <w:szCs w:val="24"/>
        </w:rPr>
        <w:t xml:space="preserve"> </w:t>
      </w:r>
      <w:r w:rsidR="0071747B">
        <w:rPr>
          <w:rFonts w:cs="Times New Roman"/>
          <w:szCs w:val="24"/>
        </w:rPr>
        <w:fldChar w:fldCharType="begin"/>
      </w:r>
      <w:r w:rsidR="0071747B">
        <w:rPr>
          <w:rFonts w:cs="Times New Roman"/>
          <w:szCs w:val="24"/>
        </w:rPr>
        <w:instrText xml:space="preserve"> ADDIN ZOTERO_ITEM CSL_CITATION {"citationID":"3M5YgSVC","properties":{"formattedCitation":"(Lefevere, Tresch, and Walgrave 2015)","plainCitation":"(Lefevere, Tresch, and Walgrave 2015)"},"citationItems":[{"id":940,"uris":["http://zotero.org/users/local/7eX6MhG9/items/W2EGDK4V"],"uri":["http://zotero.org/users/local/7eX6MhG9/items/W2EGDK4V"],"itemData":{"id":940,"type":"article-journal","title":"Introduction: Issue Ownership","container-title":"West European Politics","page":"755-760","volume":"38","issue":"4","source":"Taylor and Francis+NEJM","abstract":"Although issue ownership theory – the idea that voters consider specific parties to be better able to deal with some issues – had already emerged in the 1980s, it is only in the past 10 years that the theory has gained prominence in the study of voter and party behaviour. Despite the steep increase in scholarly attention, there is still no consensus regarding the impact of issue ownership on parties and voters. This special issue makes two key contributions: firstly, it provides state of the art contemporary issue ownership research, by focusing on the historical roots as well on recent conceptual, theoretical and methodological developments in the field. Secondly, by focusing on new aspects and effects of issue ownership, the special issue offers a look forward and outlines a research agenda for future work on issue ownership.","ISSN":"0140-2382","shortTitle":"Introduction","author":[{"family":"Lefevere","given":"Jonas"},{"family":"Tresch","given":"Anke"},{"family":"Walgrave","given":"Stefaan"}],"issued":{"date-parts":[["2015",7,4]]}}}],"schema":"https://github.com/citation-style-language/schema/raw/master/csl-citation.json"} </w:instrText>
      </w:r>
      <w:r w:rsidR="0071747B">
        <w:rPr>
          <w:rFonts w:cs="Times New Roman"/>
          <w:szCs w:val="24"/>
        </w:rPr>
        <w:fldChar w:fldCharType="separate"/>
      </w:r>
      <w:r w:rsidR="0071747B" w:rsidRPr="0071747B">
        <w:rPr>
          <w:rFonts w:cs="Times New Roman"/>
        </w:rPr>
        <w:t>(Lefevere, Tresch, and Walgrave 2015)</w:t>
      </w:r>
      <w:r w:rsidR="0071747B">
        <w:rPr>
          <w:rFonts w:cs="Times New Roman"/>
          <w:szCs w:val="24"/>
        </w:rPr>
        <w:fldChar w:fldCharType="end"/>
      </w:r>
      <w:r>
        <w:rPr>
          <w:rFonts w:cs="Times New Roman"/>
          <w:szCs w:val="24"/>
        </w:rPr>
        <w:t xml:space="preserve">, an answer to the degree of stability </w:t>
      </w:r>
      <w:r w:rsidR="00FE566B">
        <w:rPr>
          <w:rFonts w:cs="Times New Roman"/>
          <w:szCs w:val="24"/>
        </w:rPr>
        <w:t xml:space="preserve">and change </w:t>
      </w:r>
      <w:r>
        <w:rPr>
          <w:rFonts w:cs="Times New Roman"/>
          <w:szCs w:val="24"/>
        </w:rPr>
        <w:t>in issue ownership is yet not provided</w:t>
      </w:r>
      <w:r w:rsidR="00454016">
        <w:rPr>
          <w:rFonts w:cs="Times New Roman"/>
          <w:szCs w:val="24"/>
        </w:rPr>
        <w:t>.</w:t>
      </w:r>
      <w:r w:rsidR="00ED5E06" w:rsidRPr="00CC3E19">
        <w:rPr>
          <w:rFonts w:cs="Times New Roman"/>
          <w:szCs w:val="24"/>
        </w:rPr>
        <w:t xml:space="preserve"> </w:t>
      </w:r>
      <w:r w:rsidR="00454016">
        <w:rPr>
          <w:rFonts w:cs="Times New Roman"/>
          <w:szCs w:val="24"/>
        </w:rPr>
        <w:t>Most</w:t>
      </w:r>
      <w:r w:rsidR="002A3337" w:rsidRPr="00CC3E19">
        <w:rPr>
          <w:rFonts w:cs="Times New Roman"/>
          <w:szCs w:val="24"/>
        </w:rPr>
        <w:t xml:space="preserve"> </w:t>
      </w:r>
      <w:r w:rsidR="00454016">
        <w:rPr>
          <w:rFonts w:cs="Times New Roman"/>
          <w:szCs w:val="24"/>
        </w:rPr>
        <w:t>analys</w:t>
      </w:r>
      <w:r w:rsidR="00A43AB6">
        <w:rPr>
          <w:rFonts w:cs="Times New Roman"/>
          <w:szCs w:val="24"/>
        </w:rPr>
        <w:t>i</w:t>
      </w:r>
      <w:r w:rsidR="00454016">
        <w:rPr>
          <w:rFonts w:cs="Times New Roman"/>
          <w:szCs w:val="24"/>
        </w:rPr>
        <w:t xml:space="preserve">s of issue ownership </w:t>
      </w:r>
      <w:r w:rsidR="00ED5E06" w:rsidRPr="00CC3E19">
        <w:rPr>
          <w:rFonts w:cs="Times New Roman"/>
          <w:szCs w:val="24"/>
        </w:rPr>
        <w:t xml:space="preserve">at the macro-level </w:t>
      </w:r>
      <w:r w:rsidR="00454016">
        <w:rPr>
          <w:rFonts w:cs="Times New Roman"/>
          <w:szCs w:val="24"/>
        </w:rPr>
        <w:t>focus on</w:t>
      </w:r>
      <w:r w:rsidR="008E7EAA" w:rsidRPr="00CC3E19">
        <w:rPr>
          <w:rFonts w:cs="Times New Roman"/>
          <w:szCs w:val="24"/>
        </w:rPr>
        <w:t xml:space="preserve"> </w:t>
      </w:r>
      <w:r w:rsidR="00AB3FE7" w:rsidRPr="00CC3E19">
        <w:rPr>
          <w:rFonts w:cs="Times New Roman"/>
          <w:szCs w:val="24"/>
        </w:rPr>
        <w:t xml:space="preserve">fluctuations over time in </w:t>
      </w:r>
      <w:r w:rsidR="00BB6F28" w:rsidRPr="00CC3E19">
        <w:rPr>
          <w:rFonts w:cs="Times New Roman"/>
          <w:szCs w:val="24"/>
        </w:rPr>
        <w:t xml:space="preserve">issue ownership </w:t>
      </w:r>
      <w:r w:rsidR="00BB6F28" w:rsidRPr="00CC3E19">
        <w:rPr>
          <w:rFonts w:cs="Times New Roman"/>
          <w:szCs w:val="24"/>
        </w:rPr>
        <w:fldChar w:fldCharType="begin"/>
      </w:r>
      <w:r w:rsidR="00C700AC" w:rsidRPr="00CC3E19">
        <w:rPr>
          <w:rFonts w:cs="Times New Roman"/>
          <w:szCs w:val="24"/>
        </w:rPr>
        <w:instrText xml:space="preserve"> ADDIN ZOTERO_ITEM CSL_CITATION {"citationID":"ZFEu09kc","properties":{"formattedCitation":"(Jane Green and Jennings 2012; Pope and Woon 2009; Brasher 2009; Damore 2004; Belanger 2003)","plainCitation":"(Jane Green and Jennings 2012; Pope and Woon 2009; Brasher 2009; Damore 2004; Belanger 2003)","dontUpdate":true},"citationItems":[{"id":304,"uris":["http://zotero.org/users/local/7eX6MhG9/items/D52N49XA"],"uri":["http://zotero.org/users/local/7eX6MhG9/items/D52N49XA"],"itemData":{"id":304,"type":"article-journal","title":"Valence as Macro-Competence: An Analysis of Mood in Party Competence Evaluations in Great Britain","container-title":"British Journal of Political Science","page":"311–43","volume":"42","issue":"2","author":[{"family":"Green","given":"Jane"},{"family":"Jennings","given":"Will"}],"issued":{"date-parts":[["2012"]]}}},{"id":312,"uris":["http://zotero.org/users/local/7eX6MhG9/items/SRRVA9Z9"],"uri":["http://zotero.org/users/local/7eX6MhG9/items/SRRVA9Z9"],"itemData":{"id":312,"type":"article-journal","title":"Measuring Changes in American Party Reputations, 1939-2004","container-title":"Political Research Quarterly","page":"653–61","volume":"62","issue":"4","author":[{"family":"Pope","given":"Jeremy"},{"family":"Woon","given":"Jonathan"}],"issued":{"date-parts":[["2009"]]}}},{"id":99,"uris":["http://zotero.org/users/local/7eX6MhG9/items/SJVKRC92"],"uri":["http://zotero.org/users/local/7eX6MhG9/items/SJVKRC92"],"itemData":{"id":99,"type":"article-journal","title":"The Dynamic Character of Political Party Evaluations","container-title":"Party Politics","page":"69–92","volume":"15","issue":"1","author":[{"family":"Brasher","given":"Holly"}],"issued":{"date-parts":[["2009"]]}}},{"id":23,"uris":["http://zotero.org/users/local/7eX6MhG9/items/246KM4JM"],"uri":["http://zotero.org/users/local/7eX6MhG9/items/246KM4JM"],"itemData":{"id":23,"type":"article-journal","title":"The Dynamics of Issue Ownerships in Presidential Campaigns","container-title":"Political Research Quarterly","page":"391–397","volume":"57","author":[{"family":"Damore","given":"David"}],"issued":{"date-parts":[["2004"]]}}},{"id":13,"uris":["http://zotero.org/users/local/7eX6MhG9/items/82C68TH9"],"uri":["http://zotero.org/users/local/7eX6MhG9/items/82C68TH9"],"itemData":{"id":13,"type":"article-journal","title":"”Issue Ownership by Canadian Political Parties 1953-2001”","container-title":"Canadian Journal of Political Science","page":"539–558","volume":"36","issue":"3","author":[{"family":"Belanger","given":"Eric"}],"issued":{"date-parts":[["2003"]]}}}],"schema":"https://github.com/citation-style-language/schema/raw/master/csl-citation.json"} </w:instrText>
      </w:r>
      <w:r w:rsidR="00BB6F28" w:rsidRPr="00CC3E19">
        <w:rPr>
          <w:rFonts w:cs="Times New Roman"/>
          <w:szCs w:val="24"/>
        </w:rPr>
        <w:fldChar w:fldCharType="separate"/>
      </w:r>
      <w:r w:rsidR="00BA7F71" w:rsidRPr="00CC3E19">
        <w:rPr>
          <w:rFonts w:cs="Times New Roman"/>
          <w:szCs w:val="24"/>
        </w:rPr>
        <w:t>(Green and Jennings 2012; Pope and Woon 2009; Brasher 2009; Damore 2004; Belanger 2003)</w:t>
      </w:r>
      <w:r w:rsidR="00BB6F28" w:rsidRPr="00CC3E19">
        <w:rPr>
          <w:rFonts w:cs="Times New Roman"/>
          <w:szCs w:val="24"/>
        </w:rPr>
        <w:fldChar w:fldCharType="end"/>
      </w:r>
      <w:r w:rsidR="00BB6F28" w:rsidRPr="00CC3E19">
        <w:rPr>
          <w:rFonts w:cs="Times New Roman"/>
          <w:szCs w:val="24"/>
        </w:rPr>
        <w:t xml:space="preserve"> </w:t>
      </w:r>
      <w:r w:rsidR="00AB3FE7" w:rsidRPr="00CC3E19">
        <w:rPr>
          <w:rFonts w:cs="Times New Roman"/>
          <w:szCs w:val="24"/>
        </w:rPr>
        <w:t xml:space="preserve">or </w:t>
      </w:r>
      <w:r w:rsidR="00454016">
        <w:rPr>
          <w:rFonts w:cs="Times New Roman"/>
          <w:szCs w:val="24"/>
        </w:rPr>
        <w:t>identifies</w:t>
      </w:r>
      <w:r w:rsidR="0007407D" w:rsidRPr="00CC3E19">
        <w:rPr>
          <w:rFonts w:cs="Times New Roman"/>
          <w:szCs w:val="24"/>
        </w:rPr>
        <w:t xml:space="preserve"> </w:t>
      </w:r>
      <w:r w:rsidR="00AB3FE7" w:rsidRPr="00CC3E19">
        <w:rPr>
          <w:rFonts w:cs="Times New Roman"/>
          <w:szCs w:val="24"/>
        </w:rPr>
        <w:t xml:space="preserve">instances in which issue ownership </w:t>
      </w:r>
      <w:r w:rsidR="00A154D4" w:rsidRPr="00CC3E19">
        <w:rPr>
          <w:rFonts w:cs="Times New Roman"/>
          <w:szCs w:val="24"/>
        </w:rPr>
        <w:t>was</w:t>
      </w:r>
      <w:r w:rsidR="00AB3FE7" w:rsidRPr="00CC3E19">
        <w:rPr>
          <w:rFonts w:cs="Times New Roman"/>
          <w:szCs w:val="24"/>
        </w:rPr>
        <w:t xml:space="preserve"> </w:t>
      </w:r>
      <w:r w:rsidR="00CA0F9D" w:rsidRPr="00CC3E19">
        <w:rPr>
          <w:rFonts w:cs="Times New Roman"/>
          <w:szCs w:val="24"/>
        </w:rPr>
        <w:t xml:space="preserve">temporarily </w:t>
      </w:r>
      <w:r w:rsidR="00AB3FE7" w:rsidRPr="00CC3E19">
        <w:rPr>
          <w:rFonts w:cs="Times New Roman"/>
          <w:szCs w:val="24"/>
        </w:rPr>
        <w:t>undermined or hijacked</w:t>
      </w:r>
      <w:r w:rsidR="00BB6F28" w:rsidRPr="00CC3E19">
        <w:rPr>
          <w:rFonts w:cs="Times New Roman"/>
          <w:szCs w:val="24"/>
        </w:rPr>
        <w:t xml:space="preserve"> </w:t>
      </w:r>
      <w:r w:rsidR="00BB6F28" w:rsidRPr="00CC3E19">
        <w:rPr>
          <w:rFonts w:cs="Times New Roman"/>
          <w:szCs w:val="24"/>
        </w:rPr>
        <w:fldChar w:fldCharType="begin"/>
      </w:r>
      <w:r w:rsidR="00C700AC" w:rsidRPr="00CC3E19">
        <w:rPr>
          <w:rFonts w:cs="Times New Roman"/>
          <w:szCs w:val="24"/>
        </w:rPr>
        <w:instrText xml:space="preserve"> ADDIN ZOTERO_ITEM CSL_CITATION {"citationID":"Fc8IWvvC","properties":{"formattedCitation":"(D. Holian 2004; Norpoth and Buchanan 1992; Davidsson and Marx 2013; Blomqvist and Green-Pedersen 2004; Arndt 2014)","plainCitation":"(D. Holian 2004; Norpoth and Buchanan 1992; Davidsson and Marx 2013; Blomqvist and Green-Pedersen 2004; Arndt 2014)","dontUpdate":true},"citationItems":[{"id":160,"uris":["http://zotero.org/users/local/7eX6MhG9/items/H2U4AZ7S"],"uri":["http://zotero.org/users/local/7eX6MhG9/items/H2U4AZ7S"],"itemData":{"id":160,"type":"article-journal","title":"He's stealing my issues! Clinton's crime rhetoric and the dynamics of issue ownership","container-title":"Political Behavior","page":"95–124","volume":"26","issue":"2","author":[{"family":"Holian","given":"David"}],"issued":{"date-parts":[["2004"]]}}},{"id":310,"uris":["http://zotero.org/users/local/7eX6MhG9/items/BU4GHE2E"],"uri":["http://zotero.org/users/local/7eX6MhG9/items/BU4GHE2E"],"itemData":{"id":310,"type":"article-journal","title":"Wanted: The Education President. Issue Tresspassing by Political Candidates","container-title":"Public Opinion Quarterly","page":"87–99","volume":"56","issue":"1","author":[{"family":"Norpoth","given":"Helmut"},{"family":"Buchanan","given":"Bruce"}],"issued":{"date-parts":[["1992"]]}}},{"id":400,"uris":["http://zotero.org/users/local/7eX6MhG9/items/RB5KXMRW"],"uri":["http://zotero.org/users/local/7eX6MhG9/items/RB5KXMRW"],"itemData":{"id":400,"type":"article-journal","title":"Losing the Issue, Losing the Vote: Issue Competition and the Reform of Unemployment Insurance in Germany and Sweden","container-title":"Political Studies","page":"505-522","volume":"61","issue":"3","source":"Wiley Online Library","abstract":"Welfare state research tends to assume strong and enduring public support for welfare state institutions. We challenge this assumption and show that in times of economic crisis, positive welfare state attitudes are confronted with conflicting preferences for improvement of labour market performance. We argue that such movements in public opinion have led to issue competition among major political parties and subsequent radical reform of unemployment insurance in two least-likely cases. In both Germany and Sweden, incumbent governments were losing voters' confidence as a result of high and persistent unemployment. In Germany, the social democratic government saw falling competence ratings at the same time as the issue of unemployment was highly salient among voters. In order to win back confidence, the party shifted its policy stance and introduced reforms which reshaped the unemployment insurance system. In Sweden, the situation was similar with falling ratings for the social democratic government and high levels of salience for the issue of unemployment among voters. When the government did not introduce reforms, the opposition moved in and won issue ownership, and subsequently the election, on an agenda of radical reform.","ISSN":"1467-9248","shortTitle":"Losing the Issue, Losing the Vote","journalAbbreviation":"Polit Stud","language":"en","author":[{"family":"Davidsson","given":"Johan"},{"family":"Marx","given":"Paul"}],"issued":{"date-parts":[["2013",10,1]]}}},{"id":15,"uris":["http://zotero.org/users/local/7eX6MhG9/items/G9KJTD8H"],"uri":["http://zotero.org/users/local/7eX6MhG9/items/G9KJTD8H"],"itemData":{"id":15,"type":"article-journal","title":"Defeat at Home? Issue-ownership and Social Democratic Support in Scandinavia","container-title":"Government and Opposition","page":"587–613","volume":"39","issue":"4","author":[{"family":"Blomqvist","given":"Paula"},{"family":"Green-Pedersen","given":"Christoffer"}],"issued":{"date-parts":[["2004"]]}}},{"id":386,"uris":["http://zotero.org/users/local/7eX6MhG9/items/X283XRHW"],"uri":["http://zotero.org/users/local/7eX6MhG9/items/X283XRHW"],"itemData":{"id":386,"type":"article-journal","title":"Beating Social Democracy on Its Own Turf: Issue Convergence as Winning Formula for the Centre-Right in Universal Welfare States","container-title":"Scandinavian Political Studies","page":"149-170","volume":"37","issue":"2","source":"Wiley Online Library","abstract":"Recent elections yielded sweeping majorities for the centre-right in Scandinavia with a decade of pure centre-right majorities in Denmark and the longest sitting centre-right coalition in Sweden for decades. This is a blind spot in the issue voting literature, which would not expect centre-right parties to flourish in contexts where welfare issues have a natural salience as in the case of universal welfare states. In contrast, Scandinavian universal welfare states ought to benefit social democracy when it comes to issue voting on welfare issues. It is argued in this article that centre-right parties can beat social democrats by credibly converging to its social democratic opponent on issues of universal welfare. Issue ownership voting to the benefit of centre-right parties will then be strongest among voters perceiving the centre-right to have converged to social democracy and perceiving the centre-right as issue-owner. Using Danish National Election Studies, 1998–2007, the article shows that the Danish Liberal Party outperformed the Social Democrats on traditional welfare issues among those voters perceiving the Liberals to be ideologically close to the social democrats. The findings help us to understand why centre-right parties have recently turned into serious competitors on social democracy's turf: the universal welfare state.","ISSN":"1467-9477","shortTitle":"Beating Social Democracy on Its Own Turf","journalAbbreviation":"Scandinavian Political Studies","language":"en","author":[{"family":"Arndt","given":"Christoph"}],"issued":{"date-parts":[["2014",6,1]]}}}],"schema":"https://github.com/citation-style-language/schema/raw/master/csl-citation.json"} </w:instrText>
      </w:r>
      <w:r w:rsidR="00BB6F28" w:rsidRPr="00CC3E19">
        <w:rPr>
          <w:rFonts w:cs="Times New Roman"/>
          <w:szCs w:val="24"/>
        </w:rPr>
        <w:fldChar w:fldCharType="separate"/>
      </w:r>
      <w:r w:rsidR="00BB6F28" w:rsidRPr="00CC3E19">
        <w:rPr>
          <w:rFonts w:cs="Times New Roman"/>
          <w:szCs w:val="24"/>
        </w:rPr>
        <w:t>(Holian 2004; Davidsson and Marx 2013; Blomqvist and Green-Pedersen 2004; Arndt 2014)</w:t>
      </w:r>
      <w:r w:rsidR="00BB6F28" w:rsidRPr="00CC3E19">
        <w:rPr>
          <w:rFonts w:cs="Times New Roman"/>
          <w:szCs w:val="24"/>
        </w:rPr>
        <w:fldChar w:fldCharType="end"/>
      </w:r>
      <w:r w:rsidR="00AB3FE7" w:rsidRPr="00CC3E19">
        <w:rPr>
          <w:rFonts w:cs="Times New Roman"/>
          <w:szCs w:val="24"/>
        </w:rPr>
        <w:t xml:space="preserve">. </w:t>
      </w:r>
      <w:r w:rsidR="00636503">
        <w:rPr>
          <w:rFonts w:cs="Times New Roman"/>
          <w:szCs w:val="24"/>
        </w:rPr>
        <w:t>At the same time</w:t>
      </w:r>
      <w:r w:rsidR="008E2411">
        <w:rPr>
          <w:rFonts w:cs="Times New Roman"/>
          <w:szCs w:val="24"/>
        </w:rPr>
        <w:t>,</w:t>
      </w:r>
      <w:r w:rsidR="009A6A37" w:rsidRPr="00CC3E19">
        <w:rPr>
          <w:rFonts w:cs="Times New Roman"/>
          <w:szCs w:val="24"/>
        </w:rPr>
        <w:t xml:space="preserve"> stability</w:t>
      </w:r>
      <w:r w:rsidR="00915AFF">
        <w:rPr>
          <w:rFonts w:cs="Times New Roman"/>
          <w:szCs w:val="24"/>
        </w:rPr>
        <w:t xml:space="preserve"> in issue ownership</w:t>
      </w:r>
      <w:r w:rsidR="009A6A37" w:rsidRPr="00CC3E19">
        <w:rPr>
          <w:rFonts w:cs="Times New Roman"/>
          <w:szCs w:val="24"/>
        </w:rPr>
        <w:t xml:space="preserve"> is </w:t>
      </w:r>
      <w:r w:rsidR="008E2411">
        <w:rPr>
          <w:rFonts w:cs="Times New Roman"/>
          <w:szCs w:val="24"/>
        </w:rPr>
        <w:t xml:space="preserve">also </w:t>
      </w:r>
      <w:r w:rsidR="009A6A37" w:rsidRPr="00CC3E19">
        <w:rPr>
          <w:rFonts w:cs="Times New Roman"/>
          <w:szCs w:val="24"/>
        </w:rPr>
        <w:t>emphasized</w:t>
      </w:r>
      <w:r w:rsidR="008E2411">
        <w:rPr>
          <w:rFonts w:cs="Times New Roman"/>
          <w:szCs w:val="24"/>
        </w:rPr>
        <w:t xml:space="preserve"> </w:t>
      </w:r>
      <w:r w:rsidR="00BA7F71" w:rsidRPr="00CC3E19">
        <w:rPr>
          <w:rFonts w:cs="Times New Roman"/>
          <w:szCs w:val="24"/>
        </w:rPr>
        <w:fldChar w:fldCharType="begin"/>
      </w:r>
      <w:r w:rsidR="00C32EE3">
        <w:rPr>
          <w:rFonts w:cs="Times New Roman"/>
          <w:szCs w:val="24"/>
        </w:rPr>
        <w:instrText xml:space="preserve"> ADDIN ZOTERO_ITEM CSL_CITATION {"citationID":"p1Z5VKt3","properties":{"formattedCitation":"(e.g., Egan 2013; Wright 2012)","plainCitation":"(e.g., Egan 2013; Wright 2012)"},"citationItems":[{"id":298,"uris":["http://zotero.org/users/local/7eX6MhG9/items/MI59MV5P"],"uri":["http://zotero.org/users/local/7eX6MhG9/items/MI59MV5P"],"itemData":{"id":298,"type":"book","title":"Partisan Priorties. How Issue Ownership Drives and Distorts American Politics","publisher":"Cambridge University Press","publisher-place":"Cambridge","event-place":"Cambridge","author":[{"family":"Egan","given":"Patrick"}],"issued":{"date-parts":[["2013"]]}},"prefix":"e.g., "},{"id":322,"uris":["http://zotero.org/users/local/7eX6MhG9/items/T4BM732T"],"uri":["http://zotero.org/users/local/7eX6MhG9/items/T4BM732T"],"itemData":{"id":322,"type":"article-journal","title":"Unemployment and the Democratic Electoral Advantage","container-title":"American Political Science Review","page":"685–702","volume":"106","issue":"4","author":[{"family":"Wright","given":"John"}],"issued":{"date-parts":[["2012"]]}}}],"schema":"https://github.com/citation-style-language/schema/raw/master/csl-citation.json"} </w:instrText>
      </w:r>
      <w:r w:rsidR="00BA7F71" w:rsidRPr="00CC3E19">
        <w:rPr>
          <w:rFonts w:cs="Times New Roman"/>
          <w:szCs w:val="24"/>
        </w:rPr>
        <w:fldChar w:fldCharType="separate"/>
      </w:r>
      <w:r w:rsidR="00C32EE3" w:rsidRPr="00C32EE3">
        <w:rPr>
          <w:rFonts w:cs="Times New Roman"/>
        </w:rPr>
        <w:t>(e.g., Egan 2013; Wright 2012)</w:t>
      </w:r>
      <w:r w:rsidR="00BA7F71" w:rsidRPr="00CC3E19">
        <w:rPr>
          <w:rFonts w:cs="Times New Roman"/>
          <w:szCs w:val="24"/>
        </w:rPr>
        <w:fldChar w:fldCharType="end"/>
      </w:r>
      <w:r w:rsidR="009A6A37" w:rsidRPr="00CC3E19">
        <w:rPr>
          <w:rFonts w:cs="Times New Roman"/>
          <w:szCs w:val="24"/>
        </w:rPr>
        <w:t xml:space="preserve">. </w:t>
      </w:r>
      <w:r w:rsidR="008E2411">
        <w:rPr>
          <w:rFonts w:cs="Times New Roman"/>
          <w:szCs w:val="24"/>
        </w:rPr>
        <w:t>Alongside</w:t>
      </w:r>
      <w:r w:rsidR="00B34826" w:rsidRPr="00CC3E19">
        <w:rPr>
          <w:rFonts w:cs="Times New Roman"/>
          <w:szCs w:val="24"/>
        </w:rPr>
        <w:t>, issue ownership is</w:t>
      </w:r>
      <w:r w:rsidR="00785408" w:rsidRPr="00CC3E19">
        <w:rPr>
          <w:rFonts w:cs="Times New Roman"/>
          <w:szCs w:val="24"/>
        </w:rPr>
        <w:t xml:space="preserve"> widely</w:t>
      </w:r>
      <w:r w:rsidR="00B34826" w:rsidRPr="00CC3E19">
        <w:rPr>
          <w:rFonts w:cs="Times New Roman"/>
          <w:szCs w:val="24"/>
        </w:rPr>
        <w:t xml:space="preserve"> </w:t>
      </w:r>
      <w:r w:rsidR="00785408" w:rsidRPr="00CC3E19">
        <w:rPr>
          <w:rFonts w:cs="Times New Roman"/>
          <w:szCs w:val="24"/>
        </w:rPr>
        <w:t xml:space="preserve">used in studies of voting behavior </w:t>
      </w:r>
      <w:r w:rsidR="00C53FB5" w:rsidRPr="00CC3E19">
        <w:rPr>
          <w:rFonts w:cs="Times New Roman"/>
          <w:szCs w:val="24"/>
        </w:rPr>
        <w:fldChar w:fldCharType="begin"/>
      </w:r>
      <w:r w:rsidR="00C700AC" w:rsidRPr="00CC3E19">
        <w:rPr>
          <w:rFonts w:cs="Times New Roman"/>
          <w:szCs w:val="24"/>
        </w:rPr>
        <w:instrText xml:space="preserve"> ADDIN ZOTERO_ITEM CSL_CITATION {"citationID":"iIbWNfit","properties":{"formattedCitation":"(J. Green and Hobolt 2007; Meguid and Belanger 2008; van der Brug 2004)","plainCitation":"(J. Green and Hobolt 2007; Meguid and Belanger 2008; van der Brug 2004)","dontUpdate":true},"citationItems":[{"id":27,"uris":["http://zotero.org/users/local/7eX6MhG9/items/EI4R56Q4"],"uri":["http://zotero.org/users/local/7eX6MhG9/items/EI4R56Q4"],"itemData":{"id":27,"type":"article-journal","title":"Owning the issue agenda: party strategies and vote choices in British elections","container-title":"Electoral Studies","page":"460–476","volume":"27","author":[{"family":"Green","given":"Jane"},{"family":"Hobolt","given":"Sara"}],"issued":{"date-parts":[["2007"]]}}},{"id":283,"uris":["http://zotero.org/users/local/7eX6MhG9/items/DFVFUZMP"],"uri":["http://zotero.org/users/local/7eX6MhG9/items/DFVFUZMP"],"itemData":{"id":283,"type":"article-journal","title":"Issue salience, issue ownership and issue-based vote choice","container-title":"Electoral Studies","page":"477–491","volume":"27","issue":"3","author":[{"family":"Meguid","given":"Bonnie"},{"family":"Belanger","given":"Eric"}],"issued":{"date-parts":[["2008"]]}}},{"id":65,"uris":["http://zotero.org/users/local/7eX6MhG9/items/H49SI3AU"],"uri":["http://zotero.org/users/local/7eX6MhG9/items/H49SI3AU"],"itemData":{"id":65,"type":"article-journal","title":"Issue ownership and party choice","container-title":"Electoral Studies","page":"209–233","volume":"23","author":[{"family":"Brug","given":"Wouter","non-dropping-particle":"van der"}],"issued":{"date-parts":[["2004"]]}}}],"schema":"https://github.com/citation-style-language/schema/raw/master/csl-citation.json"} </w:instrText>
      </w:r>
      <w:r w:rsidR="00C53FB5" w:rsidRPr="00CC3E19">
        <w:rPr>
          <w:rFonts w:cs="Times New Roman"/>
          <w:szCs w:val="24"/>
        </w:rPr>
        <w:fldChar w:fldCharType="separate"/>
      </w:r>
      <w:r w:rsidR="00BA7F71" w:rsidRPr="00CC3E19">
        <w:rPr>
          <w:rFonts w:cs="Times New Roman"/>
          <w:szCs w:val="24"/>
        </w:rPr>
        <w:t>(Green and Hobolt 2007; Meguid and Belanger 2008; van der Brug 2004)</w:t>
      </w:r>
      <w:r w:rsidR="00C53FB5" w:rsidRPr="00CC3E19">
        <w:rPr>
          <w:rFonts w:cs="Times New Roman"/>
          <w:szCs w:val="24"/>
        </w:rPr>
        <w:fldChar w:fldCharType="end"/>
      </w:r>
      <w:r w:rsidR="00C53FB5" w:rsidRPr="00CC3E19">
        <w:rPr>
          <w:rFonts w:cs="Times New Roman"/>
          <w:szCs w:val="24"/>
        </w:rPr>
        <w:t xml:space="preserve"> </w:t>
      </w:r>
      <w:r w:rsidR="00785408" w:rsidRPr="00CC3E19">
        <w:rPr>
          <w:rFonts w:cs="Times New Roman"/>
          <w:szCs w:val="24"/>
        </w:rPr>
        <w:t xml:space="preserve">and party behavior </w:t>
      </w:r>
      <w:r w:rsidR="00C53FB5" w:rsidRPr="00CC3E19">
        <w:rPr>
          <w:rFonts w:cs="Times New Roman"/>
          <w:szCs w:val="24"/>
        </w:rPr>
        <w:fldChar w:fldCharType="begin"/>
      </w:r>
      <w:r w:rsidR="00C32EE3">
        <w:rPr>
          <w:rFonts w:cs="Times New Roman"/>
          <w:szCs w:val="24"/>
        </w:rPr>
        <w:instrText xml:space="preserve"> ADDIN ZOTERO_ITEM CSL_CITATION {"citationID":"tYW2y2RE","properties":{"formattedCitation":"(Spoon, Hobolt, and De Vries 2013; Meguid 2008; Dolezal et al. 2013)","plainCitation":"(Spoon, Hobolt, and De Vries 2013; Meguid 2008; Dolezal et al. 2013)"},"citationItems":[{"id":60,"uris":["http://zotero.org/users/local/7eX6MhG9/items/5J9EE623"],"uri":["http://zotero.org/users/local/7eX6MhG9/items/5J9EE623"],"itemData":{"id":60,"type":"article-journal","title":"Going green: Explaining issue competition on the environment","container-title":"European Journal of Political Research","author":[{"family":"Spoon","given":"Jae-Jae"},{"family":"Hobolt","given":"Sara"},{"family":"De Vries","given":"Cathrine"}],"issued":{"date-parts":[["2013"]]}}},{"id":47,"uris":["http://zotero.org/users/local/7eX6MhG9/items/HKQDTRR5"],"uri":["http://zotero.org/users/local/7eX6MhG9/items/HKQDTRR5"],"itemData":{"id":47,"type":"article-journal","title":"Competition between Unequals: The Role of Mainstream Party Strategy in Niche Party Success","container-title":"American Political Science Review","page":"347–359","volume":"99","issue":"3","author":[{"family":"Meguid","given":"Bonnie"}],"issued":{"date-parts":[["2008"]]}}},{"id":297,"uris":["http://zotero.org/users/local/7eX6MhG9/items/X4MCCXGX"],"uri":["http://zotero.org/users/local/7eX6MhG9/items/X4MCCXGX"],"itemData":{"id":297,"type":"article-journal","title":"How parties compete for votes: A test of saliency theory","container-title":"European Journal of Political Research","page":"57-76","volume":"53","issue":"1","author":[{"family":"Dolezal","given":"Martin"},{"family":"Ensser-Jedenastik","given":"Laurenz"},{"family":"Muller","given":"Wolfgang"},{"family":"Winkler","given":"Anna"}],"issued":{"date-parts":[["2013"]]}}}],"schema":"https://github.com/citation-style-language/schema/raw/master/csl-citation.json"} </w:instrText>
      </w:r>
      <w:r w:rsidR="00C53FB5" w:rsidRPr="00CC3E19">
        <w:rPr>
          <w:rFonts w:cs="Times New Roman"/>
          <w:szCs w:val="24"/>
        </w:rPr>
        <w:fldChar w:fldCharType="separate"/>
      </w:r>
      <w:r w:rsidR="00BA7F71" w:rsidRPr="00CC3E19">
        <w:rPr>
          <w:rFonts w:cs="Times New Roman"/>
          <w:szCs w:val="24"/>
        </w:rPr>
        <w:t>(Spoon, Hobolt, and De Vries 2013; Meguid 2008; Dolezal et al. 2013)</w:t>
      </w:r>
      <w:r w:rsidR="00C53FB5" w:rsidRPr="00CC3E19">
        <w:rPr>
          <w:rFonts w:cs="Times New Roman"/>
          <w:szCs w:val="24"/>
        </w:rPr>
        <w:fldChar w:fldCharType="end"/>
      </w:r>
      <w:r w:rsidR="00C53FB5" w:rsidRPr="00CC3E19">
        <w:rPr>
          <w:rFonts w:cs="Times New Roman"/>
          <w:szCs w:val="24"/>
        </w:rPr>
        <w:t xml:space="preserve"> </w:t>
      </w:r>
      <w:r w:rsidR="00785408" w:rsidRPr="00CC3E19">
        <w:rPr>
          <w:rFonts w:cs="Times New Roman"/>
          <w:szCs w:val="24"/>
        </w:rPr>
        <w:t>as the predictor constant across time and identical across countries.</w:t>
      </w:r>
      <w:r w:rsidR="00B34826" w:rsidRPr="00CC3E19">
        <w:rPr>
          <w:rFonts w:cs="Times New Roman"/>
          <w:szCs w:val="24"/>
        </w:rPr>
        <w:t xml:space="preserve"> </w:t>
      </w:r>
    </w:p>
    <w:p w:rsidR="007C6733" w:rsidRDefault="00B34826" w:rsidP="00CC3E19">
      <w:pPr>
        <w:ind w:firstLine="720"/>
        <w:rPr>
          <w:rFonts w:cs="Times New Roman"/>
          <w:szCs w:val="24"/>
        </w:rPr>
      </w:pPr>
      <w:r w:rsidRPr="00CC3E19">
        <w:rPr>
          <w:rFonts w:cs="Times New Roman"/>
          <w:szCs w:val="24"/>
        </w:rPr>
        <w:t>This leaves the impression that</w:t>
      </w:r>
      <w:r w:rsidR="00785408" w:rsidRPr="00CC3E19">
        <w:rPr>
          <w:rFonts w:cs="Times New Roman"/>
          <w:szCs w:val="24"/>
        </w:rPr>
        <w:t xml:space="preserve"> issue ownership is stable and unstable at the same time. Moreover, </w:t>
      </w:r>
      <w:r w:rsidR="000B057F" w:rsidRPr="00CC3E19">
        <w:rPr>
          <w:rFonts w:cs="Times New Roman"/>
          <w:szCs w:val="24"/>
        </w:rPr>
        <w:t>the</w:t>
      </w:r>
      <w:r w:rsidR="00583FBE" w:rsidRPr="00CC3E19">
        <w:rPr>
          <w:rFonts w:cs="Times New Roman"/>
          <w:szCs w:val="24"/>
        </w:rPr>
        <w:t xml:space="preserve"> evidence </w:t>
      </w:r>
      <w:r w:rsidR="00915274" w:rsidRPr="00CC3E19">
        <w:rPr>
          <w:rFonts w:cs="Times New Roman"/>
          <w:szCs w:val="24"/>
        </w:rPr>
        <w:t>remains</w:t>
      </w:r>
      <w:r w:rsidR="00CA0F9D" w:rsidRPr="00CC3E19">
        <w:rPr>
          <w:rFonts w:cs="Times New Roman"/>
          <w:szCs w:val="24"/>
        </w:rPr>
        <w:t xml:space="preserve"> provisional because </w:t>
      </w:r>
      <w:r w:rsidR="00583FBE" w:rsidRPr="00CC3E19">
        <w:rPr>
          <w:rFonts w:cs="Times New Roman"/>
          <w:szCs w:val="24"/>
        </w:rPr>
        <w:t>it covers</w:t>
      </w:r>
      <w:r w:rsidR="00CA0F9D" w:rsidRPr="00CC3E19">
        <w:rPr>
          <w:rFonts w:cs="Times New Roman"/>
          <w:szCs w:val="24"/>
        </w:rPr>
        <w:t xml:space="preserve"> </w:t>
      </w:r>
      <w:r w:rsidR="00960F96" w:rsidRPr="00CC3E19">
        <w:rPr>
          <w:rFonts w:cs="Times New Roman"/>
          <w:szCs w:val="24"/>
        </w:rPr>
        <w:t xml:space="preserve">only </w:t>
      </w:r>
      <w:r w:rsidR="00AB3FE7" w:rsidRPr="00CC3E19">
        <w:rPr>
          <w:rFonts w:cs="Times New Roman"/>
          <w:szCs w:val="24"/>
        </w:rPr>
        <w:t>a limited number o</w:t>
      </w:r>
      <w:r w:rsidR="00CA0F9D" w:rsidRPr="00CC3E19">
        <w:rPr>
          <w:rFonts w:cs="Times New Roman"/>
          <w:szCs w:val="24"/>
        </w:rPr>
        <w:t>f issues</w:t>
      </w:r>
      <w:r w:rsidR="00960F96" w:rsidRPr="00CC3E19">
        <w:rPr>
          <w:rFonts w:cs="Times New Roman"/>
          <w:szCs w:val="24"/>
        </w:rPr>
        <w:t>, countries, or years</w:t>
      </w:r>
      <w:r w:rsidR="00AB3FE7" w:rsidRPr="00CC3E19">
        <w:rPr>
          <w:rFonts w:cs="Times New Roman"/>
          <w:szCs w:val="24"/>
        </w:rPr>
        <w:t xml:space="preserve">. </w:t>
      </w:r>
      <w:r w:rsidR="007750ED" w:rsidRPr="00CC3E19">
        <w:rPr>
          <w:rFonts w:cs="Times New Roman"/>
          <w:szCs w:val="24"/>
        </w:rPr>
        <w:t>Conclusions from e</w:t>
      </w:r>
      <w:r w:rsidR="00915274" w:rsidRPr="00CC3E19">
        <w:rPr>
          <w:rFonts w:cs="Times New Roman"/>
          <w:szCs w:val="24"/>
        </w:rPr>
        <w:t xml:space="preserve">xisting </w:t>
      </w:r>
      <w:r w:rsidR="007750ED" w:rsidRPr="00CC3E19">
        <w:rPr>
          <w:rFonts w:cs="Times New Roman"/>
          <w:szCs w:val="24"/>
        </w:rPr>
        <w:t xml:space="preserve">research </w:t>
      </w:r>
      <w:r w:rsidR="00915274" w:rsidRPr="00CC3E19">
        <w:rPr>
          <w:rFonts w:cs="Times New Roman"/>
          <w:szCs w:val="24"/>
        </w:rPr>
        <w:t>may be an artifact of a particular point in time or may only apply to a particular set of issues or group of countries. Only comprehensive empirical evidence allows for more general conclusions</w:t>
      </w:r>
      <w:r w:rsidR="00C81D7A">
        <w:rPr>
          <w:rFonts w:cs="Times New Roman"/>
          <w:szCs w:val="24"/>
        </w:rPr>
        <w:t xml:space="preserve"> on the stability of issue ownership</w:t>
      </w:r>
      <w:r w:rsidR="00915274" w:rsidRPr="00CC3E19">
        <w:rPr>
          <w:rFonts w:cs="Times New Roman"/>
          <w:szCs w:val="24"/>
        </w:rPr>
        <w:t xml:space="preserve">. </w:t>
      </w:r>
      <w:r w:rsidR="002104A4">
        <w:rPr>
          <w:rFonts w:cs="Times New Roman"/>
          <w:szCs w:val="24"/>
        </w:rPr>
        <w:t>In such investigation, a</w:t>
      </w:r>
      <w:r w:rsidR="00A97519">
        <w:rPr>
          <w:rFonts w:cs="Times New Roman"/>
          <w:szCs w:val="24"/>
        </w:rPr>
        <w:t xml:space="preserve"> cross-country analysis is just as important as a cross-time analysis because issue ownership may be stable over time in two countries, but associated with the left in one country and the right in another country. In this case, it is as context-dependent as if issue ownership in a country belonged to the left in the 90s, but the right in the 00s. In both situations, issue ownership is not a unique</w:t>
      </w:r>
      <w:r w:rsidR="00B26B58">
        <w:rPr>
          <w:rFonts w:cs="Times New Roman"/>
          <w:szCs w:val="24"/>
        </w:rPr>
        <w:t xml:space="preserve"> </w:t>
      </w:r>
      <w:r w:rsidR="00A97519">
        <w:rPr>
          <w:rFonts w:cs="Times New Roman"/>
          <w:szCs w:val="24"/>
        </w:rPr>
        <w:t xml:space="preserve">marker of what a left party </w:t>
      </w:r>
      <w:r w:rsidR="00B26B58">
        <w:rPr>
          <w:rFonts w:cs="Times New Roman"/>
          <w:szCs w:val="24"/>
        </w:rPr>
        <w:t xml:space="preserve">generally </w:t>
      </w:r>
      <w:r w:rsidR="00A97519">
        <w:rPr>
          <w:rFonts w:cs="Times New Roman"/>
          <w:szCs w:val="24"/>
        </w:rPr>
        <w:t>is in the eyes of the electorate. Moreover, if an issue ownership is unstable over time in a country, this will probably also show up in the analysis as an increasing departure from other countries</w:t>
      </w:r>
      <w:r w:rsidR="00A97519" w:rsidRPr="00A97519">
        <w:rPr>
          <w:rFonts w:cs="Times New Roman"/>
          <w:szCs w:val="24"/>
        </w:rPr>
        <w:t xml:space="preserve"> </w:t>
      </w:r>
      <w:r w:rsidR="00A97519">
        <w:rPr>
          <w:rFonts w:cs="Times New Roman"/>
          <w:szCs w:val="24"/>
        </w:rPr>
        <w:t xml:space="preserve">in the issue-party link. </w:t>
      </w:r>
      <w:r w:rsidR="00EA4C9D" w:rsidRPr="00CC3E19">
        <w:rPr>
          <w:rFonts w:cs="Times New Roman"/>
          <w:szCs w:val="24"/>
        </w:rPr>
        <w:t>W</w:t>
      </w:r>
      <w:r w:rsidR="007C6733" w:rsidRPr="00CC3E19">
        <w:rPr>
          <w:rFonts w:cs="Times New Roman"/>
          <w:szCs w:val="24"/>
        </w:rPr>
        <w:t xml:space="preserve">ith </w:t>
      </w:r>
      <w:r w:rsidR="00EA4C9D" w:rsidRPr="00CC3E19">
        <w:rPr>
          <w:rFonts w:cs="Times New Roman"/>
          <w:szCs w:val="24"/>
        </w:rPr>
        <w:t xml:space="preserve">the </w:t>
      </w:r>
      <w:r w:rsidR="007C6733" w:rsidRPr="00CC3E19">
        <w:rPr>
          <w:rFonts w:cs="Times New Roman"/>
          <w:szCs w:val="24"/>
        </w:rPr>
        <w:t xml:space="preserve">massive </w:t>
      </w:r>
      <w:r w:rsidR="00EA4C9D" w:rsidRPr="00CC3E19">
        <w:rPr>
          <w:rFonts w:cs="Times New Roman"/>
          <w:szCs w:val="24"/>
        </w:rPr>
        <w:t xml:space="preserve">interest in and </w:t>
      </w:r>
      <w:r w:rsidR="007C6733" w:rsidRPr="00CC3E19">
        <w:rPr>
          <w:rFonts w:cs="Times New Roman"/>
          <w:szCs w:val="24"/>
        </w:rPr>
        <w:t xml:space="preserve">use </w:t>
      </w:r>
      <w:r w:rsidR="00EA4C9D" w:rsidRPr="00CC3E19">
        <w:rPr>
          <w:rFonts w:cs="Times New Roman"/>
          <w:szCs w:val="24"/>
        </w:rPr>
        <w:t xml:space="preserve">of issue ownership </w:t>
      </w:r>
      <w:r w:rsidR="007C6733" w:rsidRPr="00CC3E19">
        <w:rPr>
          <w:rFonts w:cs="Times New Roman"/>
          <w:szCs w:val="24"/>
        </w:rPr>
        <w:t xml:space="preserve">in voting and party studies, </w:t>
      </w:r>
      <w:r w:rsidR="00915274" w:rsidRPr="00CC3E19">
        <w:rPr>
          <w:rFonts w:cs="Times New Roman"/>
          <w:szCs w:val="24"/>
        </w:rPr>
        <w:t xml:space="preserve">it is somewhat surprising that </w:t>
      </w:r>
      <w:r w:rsidR="00A97519">
        <w:rPr>
          <w:rFonts w:cs="Times New Roman"/>
          <w:szCs w:val="24"/>
        </w:rPr>
        <w:t>such comprehensive analysis</w:t>
      </w:r>
      <w:r w:rsidR="00A97519" w:rsidRPr="00CC3E19">
        <w:rPr>
          <w:rFonts w:cs="Times New Roman"/>
          <w:szCs w:val="24"/>
        </w:rPr>
        <w:t xml:space="preserve"> </w:t>
      </w:r>
      <w:r w:rsidR="00915274" w:rsidRPr="00CC3E19">
        <w:rPr>
          <w:rFonts w:cs="Times New Roman"/>
          <w:szCs w:val="24"/>
        </w:rPr>
        <w:t>remains to be seen</w:t>
      </w:r>
      <w:r w:rsidR="00F526E6" w:rsidRPr="00CC3E19">
        <w:rPr>
          <w:rFonts w:cs="Times New Roman"/>
          <w:szCs w:val="24"/>
        </w:rPr>
        <w:t>.</w:t>
      </w:r>
      <w:r w:rsidR="0052445F" w:rsidRPr="00CC3E19">
        <w:rPr>
          <w:rFonts w:cs="Times New Roman"/>
          <w:szCs w:val="24"/>
        </w:rPr>
        <w:t xml:space="preserve"> </w:t>
      </w:r>
    </w:p>
    <w:p w:rsidR="00C81D7A" w:rsidRPr="00CC3E19" w:rsidRDefault="00230E34" w:rsidP="00CC3E19">
      <w:pPr>
        <w:ind w:firstLine="720"/>
        <w:rPr>
          <w:rFonts w:cs="Times New Roman"/>
          <w:szCs w:val="24"/>
        </w:rPr>
      </w:pPr>
      <w:r>
        <w:rPr>
          <w:rFonts w:cs="Times New Roman"/>
          <w:szCs w:val="24"/>
        </w:rPr>
        <w:t xml:space="preserve">A </w:t>
      </w:r>
      <w:r w:rsidR="00C81D7A">
        <w:rPr>
          <w:rFonts w:cs="Times New Roman"/>
          <w:szCs w:val="24"/>
        </w:rPr>
        <w:t>thorough examination of the stability of issue ownership is important because it</w:t>
      </w:r>
      <w:r w:rsidR="005D6EC5">
        <w:rPr>
          <w:rFonts w:cs="Times New Roman"/>
          <w:szCs w:val="24"/>
        </w:rPr>
        <w:t>s result</w:t>
      </w:r>
      <w:r w:rsidR="00C81D7A">
        <w:rPr>
          <w:rFonts w:cs="Times New Roman"/>
          <w:szCs w:val="24"/>
        </w:rPr>
        <w:t xml:space="preserve"> has major implications for how voters perceive parties. If issue ownership is stable, issue ownership describes </w:t>
      </w:r>
      <w:r w:rsidR="006A503E">
        <w:rPr>
          <w:rFonts w:cs="Times New Roman"/>
          <w:szCs w:val="24"/>
        </w:rPr>
        <w:t>something</w:t>
      </w:r>
      <w:r w:rsidR="00C81D7A">
        <w:rPr>
          <w:rFonts w:cs="Times New Roman"/>
          <w:szCs w:val="24"/>
        </w:rPr>
        <w:t xml:space="preserve"> fundamental </w:t>
      </w:r>
      <w:r w:rsidR="006A503E">
        <w:rPr>
          <w:rFonts w:cs="Times New Roman"/>
          <w:szCs w:val="24"/>
        </w:rPr>
        <w:t>about</w:t>
      </w:r>
      <w:r w:rsidR="00646151">
        <w:rPr>
          <w:rFonts w:cs="Times New Roman"/>
          <w:szCs w:val="24"/>
        </w:rPr>
        <w:t xml:space="preserve"> parties in the eyes of the voters. Issue ownership is something that voters use to navigate the political landscape and distinguish parties from each other. </w:t>
      </w:r>
      <w:r w:rsidR="00521B74">
        <w:rPr>
          <w:rFonts w:cs="Times New Roman"/>
          <w:szCs w:val="24"/>
        </w:rPr>
        <w:t xml:space="preserve">Issue ownership is distinctive. </w:t>
      </w:r>
      <w:r w:rsidR="00646151">
        <w:rPr>
          <w:rFonts w:cs="Times New Roman"/>
          <w:szCs w:val="24"/>
        </w:rPr>
        <w:t xml:space="preserve">In this scenario, parties are not only ideological creatures defined by their </w:t>
      </w:r>
      <w:r w:rsidR="000A5D1A">
        <w:rPr>
          <w:rFonts w:cs="Times New Roman"/>
          <w:szCs w:val="24"/>
        </w:rPr>
        <w:t>opinion</w:t>
      </w:r>
      <w:r w:rsidR="004F2694">
        <w:rPr>
          <w:rFonts w:cs="Times New Roman"/>
          <w:szCs w:val="24"/>
        </w:rPr>
        <w:t xml:space="preserve"> </w:t>
      </w:r>
      <w:r w:rsidR="004F2694">
        <w:rPr>
          <w:rFonts w:cs="Times New Roman"/>
          <w:szCs w:val="24"/>
        </w:rPr>
        <w:fldChar w:fldCharType="begin"/>
      </w:r>
      <w:r w:rsidR="004F2694">
        <w:rPr>
          <w:rFonts w:cs="Times New Roman"/>
          <w:szCs w:val="24"/>
        </w:rPr>
        <w:instrText xml:space="preserve"> ADDIN ZOTERO_ITEM CSL_CITATION {"citationID":"aC7pClK1","properties":{"formattedCitation":"(Budge 1994)","plainCitation":"(Budge 1994)"},"citationItems":[{"id":16,"uris":["http://zotero.org/users/local/7eX6MhG9/items/BNVQ9TXS"],"uri":["http://zotero.org/users/local/7eX6MhG9/items/BNVQ9TXS"],"itemData":{"id":16,"type":"article-journal","title":"A New Spatial Theory of Party Competition: Uncertainty, Ideology, and Policy Equilibria Viewed Comparatively and Temporally","container-title":"British Journal of Political Science","page":"443–67","volume":"24","issue":"4","author":[{"family":"Budge","given":"Ian"}],"issued":{"date-parts":[["1994"]]}}}],"schema":"https://github.com/citation-style-language/schema/raw/master/csl-citation.json"} </w:instrText>
      </w:r>
      <w:r w:rsidR="004F2694">
        <w:rPr>
          <w:rFonts w:cs="Times New Roman"/>
          <w:szCs w:val="24"/>
        </w:rPr>
        <w:fldChar w:fldCharType="separate"/>
      </w:r>
      <w:r w:rsidR="004F2694" w:rsidRPr="004F2694">
        <w:rPr>
          <w:rFonts w:cs="Times New Roman"/>
        </w:rPr>
        <w:t>(Budge 1994)</w:t>
      </w:r>
      <w:r w:rsidR="004F2694">
        <w:rPr>
          <w:rFonts w:cs="Times New Roman"/>
          <w:szCs w:val="24"/>
        </w:rPr>
        <w:fldChar w:fldCharType="end"/>
      </w:r>
      <w:r w:rsidR="00646151">
        <w:rPr>
          <w:rFonts w:cs="Times New Roman"/>
          <w:szCs w:val="24"/>
        </w:rPr>
        <w:t>, but also entities defined by the issues they are associated with</w:t>
      </w:r>
      <w:r w:rsidR="004F2694">
        <w:rPr>
          <w:rFonts w:cs="Times New Roman"/>
          <w:szCs w:val="24"/>
        </w:rPr>
        <w:t xml:space="preserve"> </w:t>
      </w:r>
      <w:r w:rsidR="004F2694">
        <w:rPr>
          <w:rFonts w:cs="Times New Roman"/>
          <w:szCs w:val="24"/>
        </w:rPr>
        <w:fldChar w:fldCharType="begin"/>
      </w:r>
      <w:r w:rsidR="004F2694">
        <w:rPr>
          <w:rFonts w:cs="Times New Roman"/>
          <w:szCs w:val="24"/>
        </w:rPr>
        <w:instrText xml:space="preserve"> ADDIN ZOTERO_ITEM CSL_CITATION {"citationID":"wETrZtTg","properties":{"formattedCitation":"(Klingemann, Hofferbert, and Budge 1994; Green-Pedersen 2007)","plainCitation":"(Klingemann, Hofferbert, and Budge 1994; Green-Pedersen 2007)"},"citationItems":[{"id":181,"uris":["http://zotero.org/users/local/7eX6MhG9/items/CZDDTW9I"],"uri":["http://zotero.org/users/local/7eX6MhG9/items/CZDDTW9I"],"itemData":{"id":181,"type":"book","title":"Parties, Policies, and Democracy","publisher":"Westview","publisher-place":"Boulder","event-place":"Boulder","author":[{"family":"Klingemann","given":"Hans-Dieter"},{"family":"Hofferbert","given":"Richard"},{"family":"Budge","given":"Ian"}],"issued":{"date-parts":[["1994"]]}}},{"id":29,"uris":["http://zotero.org/users/local/7eX6MhG9/items/5AWTS4GM"],"uri":["http://zotero.org/users/local/7eX6MhG9/items/5AWTS4GM"],"itemData":{"id":29,"type":"article-journal","title":"The growing importance of Issues","container-title":"Political Studies","page":"608–628","volume":"55","issue":"4","author":[{"family":"Green-Pedersen","given":"Christoffer"}],"issued":{"date-parts":[["2007"]]}}}],"schema":"https://github.com/citation-style-language/schema/raw/master/csl-citation.json"} </w:instrText>
      </w:r>
      <w:r w:rsidR="004F2694">
        <w:rPr>
          <w:rFonts w:cs="Times New Roman"/>
          <w:szCs w:val="24"/>
        </w:rPr>
        <w:fldChar w:fldCharType="separate"/>
      </w:r>
      <w:r w:rsidR="004F2694" w:rsidRPr="004F2694">
        <w:rPr>
          <w:rFonts w:cs="Times New Roman"/>
        </w:rPr>
        <w:t>(Klingemann, Hofferbert, and Budge 1994; Green-Pedersen 2007)</w:t>
      </w:r>
      <w:r w:rsidR="004F2694">
        <w:rPr>
          <w:rFonts w:cs="Times New Roman"/>
          <w:szCs w:val="24"/>
        </w:rPr>
        <w:fldChar w:fldCharType="end"/>
      </w:r>
      <w:r w:rsidR="00C81D7A">
        <w:rPr>
          <w:rFonts w:cs="Times New Roman"/>
          <w:szCs w:val="24"/>
        </w:rPr>
        <w:t xml:space="preserve">. </w:t>
      </w:r>
      <w:r w:rsidR="00646151">
        <w:rPr>
          <w:rFonts w:cs="Times New Roman"/>
          <w:szCs w:val="24"/>
        </w:rPr>
        <w:t xml:space="preserve">Issue ownership is hard to change, but offers </w:t>
      </w:r>
      <w:r w:rsidR="005D6EC5">
        <w:rPr>
          <w:rFonts w:cs="Times New Roman"/>
          <w:szCs w:val="24"/>
        </w:rPr>
        <w:t xml:space="preserve">at the same time </w:t>
      </w:r>
      <w:r w:rsidR="00646151">
        <w:rPr>
          <w:rFonts w:cs="Times New Roman"/>
          <w:szCs w:val="24"/>
        </w:rPr>
        <w:t>parties an advantage in the competition for votes.</w:t>
      </w:r>
      <w:r w:rsidR="00165726">
        <w:rPr>
          <w:rFonts w:cs="Times New Roman"/>
          <w:szCs w:val="24"/>
        </w:rPr>
        <w:t xml:space="preserve"> It is a basic structure for party competition</w:t>
      </w:r>
      <w:r w:rsidR="00165726" w:rsidRPr="00165726">
        <w:rPr>
          <w:rFonts w:cs="Times New Roman"/>
          <w:szCs w:val="24"/>
        </w:rPr>
        <w:t xml:space="preserve"> </w:t>
      </w:r>
      <w:r w:rsidR="00165726" w:rsidRPr="00CC3E19">
        <w:rPr>
          <w:rFonts w:cs="Times New Roman"/>
          <w:szCs w:val="24"/>
        </w:rPr>
        <w:t xml:space="preserve">which reflects historic political conflicts, though cleavages and class-politics may </w:t>
      </w:r>
      <w:r w:rsidR="00701DA2">
        <w:rPr>
          <w:rFonts w:cs="Times New Roman"/>
          <w:szCs w:val="24"/>
        </w:rPr>
        <w:t>have waned</w:t>
      </w:r>
      <w:r w:rsidR="00165726">
        <w:rPr>
          <w:rFonts w:cs="Times New Roman"/>
          <w:szCs w:val="24"/>
        </w:rPr>
        <w:t>.</w:t>
      </w:r>
      <w:r w:rsidR="00646151">
        <w:rPr>
          <w:rFonts w:cs="Times New Roman"/>
          <w:szCs w:val="24"/>
        </w:rPr>
        <w:t xml:space="preserve"> </w:t>
      </w:r>
      <w:r w:rsidR="00C81D7A">
        <w:rPr>
          <w:rFonts w:cs="Times New Roman"/>
          <w:szCs w:val="24"/>
        </w:rPr>
        <w:t xml:space="preserve">If </w:t>
      </w:r>
      <w:r w:rsidR="00646151">
        <w:rPr>
          <w:rFonts w:cs="Times New Roman"/>
          <w:szCs w:val="24"/>
        </w:rPr>
        <w:t xml:space="preserve">issue ownership </w:t>
      </w:r>
      <w:r w:rsidR="00C81D7A">
        <w:rPr>
          <w:rFonts w:cs="Times New Roman"/>
          <w:szCs w:val="24"/>
        </w:rPr>
        <w:t>is unstable</w:t>
      </w:r>
      <w:r w:rsidR="00D04E77" w:rsidRPr="00D04E77">
        <w:rPr>
          <w:rFonts w:cs="Times New Roman"/>
          <w:szCs w:val="24"/>
        </w:rPr>
        <w:t xml:space="preserve"> </w:t>
      </w:r>
      <w:r w:rsidR="00D04E77">
        <w:rPr>
          <w:rFonts w:cs="Times New Roman"/>
          <w:szCs w:val="24"/>
        </w:rPr>
        <w:t>in contrast</w:t>
      </w:r>
      <w:r w:rsidR="00C81D7A">
        <w:rPr>
          <w:rFonts w:cs="Times New Roman"/>
          <w:szCs w:val="24"/>
        </w:rPr>
        <w:t xml:space="preserve">, </w:t>
      </w:r>
      <w:r w:rsidR="00646151">
        <w:rPr>
          <w:rFonts w:cs="Times New Roman"/>
          <w:szCs w:val="24"/>
        </w:rPr>
        <w:t xml:space="preserve">it </w:t>
      </w:r>
      <w:r w:rsidR="005D6EC5">
        <w:rPr>
          <w:rFonts w:cs="Times New Roman"/>
          <w:szCs w:val="24"/>
        </w:rPr>
        <w:t>resembles</w:t>
      </w:r>
      <w:r w:rsidR="00646151">
        <w:rPr>
          <w:rFonts w:cs="Times New Roman"/>
          <w:szCs w:val="24"/>
        </w:rPr>
        <w:t xml:space="preserve"> little more than the momentary </w:t>
      </w:r>
      <w:r w:rsidR="00165726">
        <w:rPr>
          <w:rFonts w:cs="Times New Roman"/>
          <w:szCs w:val="24"/>
        </w:rPr>
        <w:t xml:space="preserve">priming or </w:t>
      </w:r>
      <w:r w:rsidR="00646151">
        <w:rPr>
          <w:rFonts w:cs="Times New Roman"/>
          <w:szCs w:val="24"/>
        </w:rPr>
        <w:t xml:space="preserve">persuasion effects on public opinion that </w:t>
      </w:r>
      <w:r w:rsidR="001831EF">
        <w:rPr>
          <w:rFonts w:cs="Times New Roman"/>
          <w:szCs w:val="24"/>
        </w:rPr>
        <w:t>may arise</w:t>
      </w:r>
      <w:r w:rsidR="00646151">
        <w:rPr>
          <w:rFonts w:cs="Times New Roman"/>
          <w:szCs w:val="24"/>
        </w:rPr>
        <w:t xml:space="preserve"> from parties’ short-term strategic communication.</w:t>
      </w:r>
      <w:r w:rsidR="00E03095">
        <w:rPr>
          <w:rFonts w:cs="Times New Roman"/>
          <w:szCs w:val="24"/>
        </w:rPr>
        <w:t xml:space="preserve"> It is not as distinctive as if it was a long-term phenomenon.</w:t>
      </w:r>
      <w:r w:rsidR="00646151">
        <w:rPr>
          <w:rFonts w:cs="Times New Roman"/>
          <w:szCs w:val="24"/>
        </w:rPr>
        <w:t xml:space="preserve"> It may provide great leverage in explaining a particular election outcome, but th</w:t>
      </w:r>
      <w:r w:rsidR="005D6EC5">
        <w:rPr>
          <w:rFonts w:cs="Times New Roman"/>
          <w:szCs w:val="24"/>
        </w:rPr>
        <w:t>e</w:t>
      </w:r>
      <w:r w:rsidR="00646151">
        <w:rPr>
          <w:rFonts w:cs="Times New Roman"/>
          <w:szCs w:val="24"/>
        </w:rPr>
        <w:t xml:space="preserve"> knowledge about issue ownership in this exact setting may not travel </w:t>
      </w:r>
      <w:r w:rsidR="001831EF">
        <w:rPr>
          <w:rFonts w:cs="Times New Roman"/>
          <w:szCs w:val="24"/>
        </w:rPr>
        <w:t>far</w:t>
      </w:r>
      <w:r w:rsidR="00646151">
        <w:rPr>
          <w:rFonts w:cs="Times New Roman"/>
          <w:szCs w:val="24"/>
        </w:rPr>
        <w:t xml:space="preserve">. </w:t>
      </w:r>
      <w:r w:rsidR="005D6EC5">
        <w:rPr>
          <w:rFonts w:cs="Times New Roman"/>
          <w:szCs w:val="24"/>
        </w:rPr>
        <w:t>Here, p</w:t>
      </w:r>
      <w:r w:rsidR="00646151">
        <w:rPr>
          <w:rFonts w:cs="Times New Roman"/>
          <w:szCs w:val="24"/>
        </w:rPr>
        <w:t xml:space="preserve">arties cannot count on an issue ownership, but can instead </w:t>
      </w:r>
      <w:r w:rsidR="00FE5456">
        <w:rPr>
          <w:rFonts w:cs="Times New Roman"/>
          <w:szCs w:val="24"/>
        </w:rPr>
        <w:t xml:space="preserve">built </w:t>
      </w:r>
      <w:r w:rsidR="00822042">
        <w:rPr>
          <w:rFonts w:cs="Times New Roman"/>
          <w:szCs w:val="24"/>
        </w:rPr>
        <w:t xml:space="preserve">more transient </w:t>
      </w:r>
      <w:r w:rsidR="00FE5456">
        <w:rPr>
          <w:rFonts w:cs="Times New Roman"/>
          <w:szCs w:val="24"/>
        </w:rPr>
        <w:t>reputations for issue-handling competence from one election to the next.</w:t>
      </w:r>
      <w:r w:rsidR="001831EF">
        <w:rPr>
          <w:rFonts w:cs="Times New Roman"/>
          <w:szCs w:val="24"/>
        </w:rPr>
        <w:t xml:space="preserve"> In this scenario, issue ownership does not provide much general analytical value.</w:t>
      </w:r>
    </w:p>
    <w:p w:rsidR="00AE508E" w:rsidRPr="00CC3E19" w:rsidRDefault="00AE508E" w:rsidP="00CC3E19">
      <w:pPr>
        <w:jc w:val="both"/>
        <w:rPr>
          <w:rFonts w:cs="Times New Roman"/>
          <w:b/>
          <w:szCs w:val="24"/>
        </w:rPr>
      </w:pPr>
    </w:p>
    <w:p w:rsidR="00446496" w:rsidRPr="00CC3E19" w:rsidRDefault="000C1ADF" w:rsidP="00CC3E19">
      <w:pPr>
        <w:rPr>
          <w:rFonts w:cs="Times New Roman"/>
          <w:szCs w:val="24"/>
        </w:rPr>
      </w:pPr>
      <w:r>
        <w:rPr>
          <w:rFonts w:cs="Times New Roman"/>
          <w:b/>
          <w:szCs w:val="24"/>
        </w:rPr>
        <w:t xml:space="preserve">A new </w:t>
      </w:r>
      <w:r w:rsidRPr="00CC3E19">
        <w:rPr>
          <w:rFonts w:cs="Times New Roman"/>
          <w:b/>
          <w:szCs w:val="24"/>
        </w:rPr>
        <w:t>data</w:t>
      </w:r>
      <w:r>
        <w:rPr>
          <w:rFonts w:cs="Times New Roman"/>
          <w:b/>
          <w:szCs w:val="24"/>
        </w:rPr>
        <w:t>base</w:t>
      </w:r>
      <w:r w:rsidRPr="00CC3E19">
        <w:rPr>
          <w:rFonts w:cs="Times New Roman"/>
          <w:b/>
          <w:szCs w:val="24"/>
        </w:rPr>
        <w:t xml:space="preserve"> on issue ownership on multiple issues across countries and time</w:t>
      </w:r>
    </w:p>
    <w:p w:rsidR="002F76B3" w:rsidRPr="00CC3E19" w:rsidRDefault="006978E4" w:rsidP="00CC3E19">
      <w:pPr>
        <w:rPr>
          <w:rFonts w:cs="Times New Roman"/>
          <w:szCs w:val="24"/>
        </w:rPr>
      </w:pPr>
      <w:r>
        <w:rPr>
          <w:rFonts w:cs="Times New Roman"/>
          <w:szCs w:val="24"/>
        </w:rPr>
        <w:t xml:space="preserve">To study the stability of issue ownership, a comprehensive dataset is required that provides information on many issues across many countries over long time. To meet these ambitious data demands, a novel database has been compiled from </w:t>
      </w:r>
      <w:r w:rsidRPr="00CC3E19">
        <w:rPr>
          <w:rFonts w:cs="Times New Roman"/>
          <w:szCs w:val="24"/>
        </w:rPr>
        <w:t xml:space="preserve">136 National Election Studies </w:t>
      </w:r>
      <w:r>
        <w:rPr>
          <w:rFonts w:cs="Times New Roman"/>
          <w:szCs w:val="24"/>
        </w:rPr>
        <w:t xml:space="preserve">that </w:t>
      </w:r>
      <w:r w:rsidR="00F75B86">
        <w:rPr>
          <w:rFonts w:cs="Times New Roman"/>
          <w:szCs w:val="24"/>
        </w:rPr>
        <w:t xml:space="preserve">collects available information on </w:t>
      </w:r>
      <w:r>
        <w:rPr>
          <w:rFonts w:cs="Times New Roman"/>
          <w:szCs w:val="24"/>
        </w:rPr>
        <w:t>46 issues across 17 countries over three decades</w:t>
      </w:r>
      <w:r w:rsidR="00AA7A7B" w:rsidRPr="00CC3E19">
        <w:rPr>
          <w:rFonts w:cs="Times New Roman"/>
          <w:szCs w:val="24"/>
        </w:rPr>
        <w:t>,</w:t>
      </w:r>
      <w:r w:rsidR="001522D4" w:rsidRPr="00CC3E19">
        <w:rPr>
          <w:rFonts w:cs="Times New Roman"/>
          <w:szCs w:val="24"/>
        </w:rPr>
        <w:t xml:space="preserve"> mostly from elections but when available also from years in between.</w:t>
      </w:r>
      <w:r w:rsidR="002F76B3" w:rsidRPr="00CC3E19">
        <w:rPr>
          <w:rStyle w:val="Slutnotehenvisning"/>
          <w:rFonts w:cs="Times New Roman"/>
          <w:szCs w:val="24"/>
        </w:rPr>
        <w:endnoteReference w:id="1"/>
      </w:r>
      <w:r w:rsidR="002F76B3" w:rsidRPr="00CC3E19">
        <w:rPr>
          <w:rFonts w:cs="Times New Roman"/>
          <w:szCs w:val="24"/>
        </w:rPr>
        <w:t xml:space="preserve"> The </w:t>
      </w:r>
      <w:r w:rsidR="002F76B3">
        <w:rPr>
          <w:rFonts w:cs="Times New Roman"/>
          <w:szCs w:val="24"/>
        </w:rPr>
        <w:t xml:space="preserve">17 </w:t>
      </w:r>
      <w:r w:rsidR="002F76B3" w:rsidRPr="00CC3E19">
        <w:rPr>
          <w:rFonts w:cs="Times New Roman"/>
          <w:szCs w:val="24"/>
        </w:rPr>
        <w:t>countries are Sweden, Norway, Denmark, Finland, Belgium, Netherlands, France, Italy, Germany, Austria, Switzerland, the UK</w:t>
      </w:r>
      <w:r w:rsidR="002F76B3" w:rsidRPr="00CC3E19">
        <w:rPr>
          <w:rStyle w:val="Slutnotehenvisning"/>
          <w:rFonts w:cs="Times New Roman"/>
          <w:szCs w:val="24"/>
        </w:rPr>
        <w:endnoteReference w:id="2"/>
      </w:r>
      <w:r w:rsidR="002F76B3" w:rsidRPr="00CC3E19">
        <w:rPr>
          <w:rFonts w:cs="Times New Roman"/>
          <w:szCs w:val="24"/>
        </w:rPr>
        <w:t xml:space="preserve">, Ireland, the US, Canada, Australia, and New Zealand. </w:t>
      </w:r>
      <w:r w:rsidR="002F76B3">
        <w:rPr>
          <w:rFonts w:cs="Times New Roman"/>
          <w:szCs w:val="24"/>
        </w:rPr>
        <w:t xml:space="preserve">Among the </w:t>
      </w:r>
      <w:r w:rsidR="002F76B3" w:rsidRPr="00CC3E19">
        <w:rPr>
          <w:rFonts w:cs="Times New Roman"/>
          <w:szCs w:val="24"/>
        </w:rPr>
        <w:t>46 issues, only 12 have sufficient observations for a robust cross-country, cross-time analysis</w:t>
      </w:r>
      <w:r w:rsidR="002F76B3">
        <w:rPr>
          <w:rFonts w:cs="Times New Roman"/>
          <w:szCs w:val="24"/>
        </w:rPr>
        <w:t xml:space="preserve"> (see below)</w:t>
      </w:r>
      <w:r w:rsidR="002F76B3" w:rsidRPr="00CC3E19">
        <w:rPr>
          <w:rFonts w:cs="Times New Roman"/>
          <w:szCs w:val="24"/>
        </w:rPr>
        <w:t>. These issues are the economy, health, education, environment, law and order, unemployment, tax, asylum/immigration, social security, elderly care, families, and the EU (for EU member states). Table 1</w:t>
      </w:r>
      <w:r w:rsidR="002F76B3">
        <w:rPr>
          <w:rFonts w:cs="Times New Roman"/>
          <w:szCs w:val="24"/>
        </w:rPr>
        <w:t xml:space="preserve"> provides an overview</w:t>
      </w:r>
      <w:r w:rsidR="002F76B3" w:rsidRPr="00CC3E19">
        <w:rPr>
          <w:rFonts w:cs="Times New Roman"/>
          <w:szCs w:val="24"/>
        </w:rPr>
        <w:t>.</w:t>
      </w:r>
    </w:p>
    <w:p w:rsidR="002F76B3" w:rsidRPr="00CC3E19" w:rsidRDefault="002F76B3" w:rsidP="00F44A28">
      <w:pPr>
        <w:jc w:val="center"/>
        <w:rPr>
          <w:rFonts w:cs="Times New Roman"/>
          <w:szCs w:val="24"/>
        </w:rPr>
      </w:pPr>
      <w:r w:rsidRPr="00CC3E19">
        <w:rPr>
          <w:rFonts w:cs="Times New Roman"/>
          <w:szCs w:val="24"/>
        </w:rPr>
        <w:t>[Table 1]</w:t>
      </w:r>
    </w:p>
    <w:p w:rsidR="002F76B3" w:rsidRPr="00CC3E19" w:rsidRDefault="002F76B3" w:rsidP="00F44A28">
      <w:pPr>
        <w:rPr>
          <w:rFonts w:cs="Times New Roman"/>
          <w:szCs w:val="24"/>
        </w:rPr>
      </w:pPr>
      <w:r w:rsidRPr="00CC3E19">
        <w:rPr>
          <w:rFonts w:cs="Times New Roman"/>
          <w:szCs w:val="24"/>
        </w:rPr>
        <w:t xml:space="preserve">Though the analysis is primarily concerned with stability in issue ownership across time and countries, it is worthwhile considering what can be expected as the preferred party on each issue. Existing studies seem to agree that issues related to public finance like public debt, deficit on the public budget, and tax, and issues related to the national interest such as law and order, asylum/immigration, defense, international affairs, </w:t>
      </w:r>
      <w:r w:rsidRPr="00C71140">
        <w:rPr>
          <w:rFonts w:cs="Times New Roman"/>
          <w:szCs w:val="24"/>
        </w:rPr>
        <w:t xml:space="preserve">and </w:t>
      </w:r>
      <w:r>
        <w:rPr>
          <w:rFonts w:cs="Times New Roman"/>
          <w:szCs w:val="24"/>
        </w:rPr>
        <w:t xml:space="preserve">to some extent also </w:t>
      </w:r>
      <w:r w:rsidRPr="00C71140">
        <w:rPr>
          <w:rFonts w:cs="Times New Roman"/>
          <w:szCs w:val="24"/>
        </w:rPr>
        <w:t>the EU</w:t>
      </w:r>
      <w:r>
        <w:rPr>
          <w:rStyle w:val="Slutnotehenvisning"/>
          <w:rFonts w:cs="Times New Roman"/>
          <w:szCs w:val="24"/>
        </w:rPr>
        <w:endnoteReference w:id="3"/>
      </w:r>
      <w:r w:rsidRPr="00C71140">
        <w:rPr>
          <w:rFonts w:cs="Times New Roman"/>
          <w:szCs w:val="24"/>
        </w:rPr>
        <w:t xml:space="preserve"> (for EU member states) are associated with right-of-center parties.</w:t>
      </w:r>
      <w:r w:rsidRPr="00CC3E19">
        <w:rPr>
          <w:rFonts w:cs="Times New Roman"/>
          <w:szCs w:val="24"/>
        </w:rPr>
        <w:t xml:space="preserve"> Issues related to the welfare state – such as health, education, unemployment, jobs, social security, families, and elderly care – are related to the social democratic party or the socialist party. This is also true for the environment if a green party does not own the issue. Several studies report that the economy does not belong consistently to any party </w:t>
      </w:r>
      <w:r w:rsidRPr="00CC3E19">
        <w:rPr>
          <w:rFonts w:cs="Times New Roman"/>
          <w:szCs w:val="24"/>
        </w:rPr>
        <w:fldChar w:fldCharType="begin"/>
      </w:r>
      <w:r>
        <w:rPr>
          <w:rFonts w:cs="Times New Roman"/>
          <w:szCs w:val="24"/>
        </w:rPr>
        <w:instrText xml:space="preserve"> ADDIN ZOTERO_ITEM CSL_CITATION {"citationID":"aXpIacck","properties":{"formattedCitation":"(Belanger 2003; Pope and Woon 2009; Brasher 2009; Petrocik 1996)","plainCitation":"(Belanger 2003; Pope and Woon 2009; Brasher 2009; Petrocik 1996)"},"citationItems":[{"id":13,"uris":["http://zotero.org/users/local/7eX6MhG9/items/82C68TH9"],"uri":["http://zotero.org/users/local/7eX6MhG9/items/82C68TH9"],"itemData":{"id":13,"type":"article-journal","title":"”Issue Ownership by Canadian Political Parties 1953-2001”","container-title":"Canadian Journal of Political Science","page":"539–558","volume":"36","issue":"3","author":[{"family":"Belanger","given":"Eric"}],"issued":{"date-parts":[["2003"]]}}},{"id":312,"uris":["http://zotero.org/users/local/7eX6MhG9/items/SRRVA9Z9"],"uri":["http://zotero.org/users/local/7eX6MhG9/items/SRRVA9Z9"],"itemData":{"id":312,"type":"article-journal","title":"Measuring Changes in American Party Reputations, 1939-2004","container-title":"Political Research Quarterly","page":"653–61","volume":"62","issue":"4","author":[{"family":"Pope","given":"Jeremy"},{"family":"Woon","given":"Jonathan"}],"issued":{"date-parts":[["2009"]]}}},{"id":99,"uris":["http://zotero.org/users/local/7eX6MhG9/items/SJVKRC92"],"uri":["http://zotero.org/users/local/7eX6MhG9/items/SJVKRC92"],"itemData":{"id":99,"type":"article-journal","title":"The Dynamic Character of Political Party Evaluations","container-title":"Party Politics","page":"69–92","volume":"15","issue":"1","author":[{"family":"Brasher","given":"Holly"}],"issued":{"date-parts":[["2009"]]}}},{"id":53,"uris":["http://zotero.org/users/local/7eX6MhG9/items/ENS4WF74"],"uri":["http://zotero.org/users/local/7eX6MhG9/items/ENS4WF74"],"itemData":{"id":53,"type":"article-journal","title":"Issue Ownership in Presidential Elections, with a 1980 Case Study","container-title":"American Journal of Political Science","page":"825–50","volume":"40","issue":"3","author":[{"family":"Petrocik","given":"John"}],"issued":{"date-parts":[["1996"]]}}}],"schema":"https://github.com/citation-style-language/schema/raw/master/csl-citation.json"} </w:instrText>
      </w:r>
      <w:r w:rsidRPr="00CC3E19">
        <w:rPr>
          <w:rFonts w:cs="Times New Roman"/>
          <w:szCs w:val="24"/>
        </w:rPr>
        <w:fldChar w:fldCharType="separate"/>
      </w:r>
      <w:r w:rsidRPr="00B412D8">
        <w:rPr>
          <w:rFonts w:cs="Times New Roman"/>
        </w:rPr>
        <w:t>(Belanger 2003; Pope and Woon 2009; Brasher 2009; Petrocik 1996)</w:t>
      </w:r>
      <w:r w:rsidRPr="00CC3E19">
        <w:rPr>
          <w:rFonts w:cs="Times New Roman"/>
          <w:szCs w:val="24"/>
        </w:rPr>
        <w:fldChar w:fldCharType="end"/>
      </w:r>
      <w:r w:rsidRPr="00CC3E19">
        <w:rPr>
          <w:rFonts w:cs="Times New Roman"/>
          <w:szCs w:val="24"/>
        </w:rPr>
        <w:t xml:space="preserve">. </w:t>
      </w:r>
    </w:p>
    <w:p w:rsidR="002F76B3" w:rsidRDefault="002F76B3" w:rsidP="00CC3E19">
      <w:pPr>
        <w:ind w:firstLine="720"/>
        <w:rPr>
          <w:rFonts w:cs="Times New Roman"/>
          <w:szCs w:val="24"/>
        </w:rPr>
      </w:pPr>
      <w:r w:rsidRPr="00CC3E19">
        <w:rPr>
          <w:rFonts w:cs="Times New Roman"/>
          <w:szCs w:val="24"/>
        </w:rPr>
        <w:t xml:space="preserve">For the analysis of these issues, information on issue ownership is collected at the voters’ level in each of the national election surveys via a question about the preferred party on an issue (see below). </w:t>
      </w:r>
      <w:r>
        <w:rPr>
          <w:rFonts w:cs="Times New Roman"/>
          <w:szCs w:val="24"/>
        </w:rPr>
        <w:t xml:space="preserve">Although issue ownership is a macro-phenomenon reflecting an asset of a party, it is rarely measured through party statements or elite interviews </w:t>
      </w:r>
      <w:r>
        <w:rPr>
          <w:rFonts w:cs="Times New Roman"/>
          <w:szCs w:val="24"/>
        </w:rPr>
        <w:fldChar w:fldCharType="begin"/>
      </w:r>
      <w:r>
        <w:rPr>
          <w:rFonts w:cs="Times New Roman"/>
          <w:szCs w:val="24"/>
        </w:rPr>
        <w:instrText xml:space="preserve"> ADDIN ZOTERO_ITEM CSL_CITATION {"citationID":"J4Tu1hFS","properties":{"formattedCitation":"(an exception is Busemeyer, Franzmann, and Garritzmann 2013)","plainCitation":"(an exception is Busemeyer, Franzmann, and Garritzmann 2013)"},"citationItems":[{"id":149,"uris":["http://zotero.org/users/local/7eX6MhG9/items/FHPFICW2"],"uri":["http://zotero.org/users/local/7eX6MhG9/items/FHPFICW2"],"itemData":{"id":149,"type":"article-journal","title":"Who Owns Education? Cleavage Structures in the Partisan Competition over Educational Expansion","container-title":"West European Politics","page":"521-546","volume":"36","issue":"3","source":"Taylor and Francis+NEJM","abstract":"The literature on the partisan foundations of education policies leads to ambiguous expectations with regard to the predominant cleavage structures in party competition on this topic. There is disagreement as to whether leftist or rightist parties are responsible for increasing spending on education, while others claim that educational expansion has become a consensual topic. This paper analyses the cleavage structure of party competition over the topic of educational expansion, relying on data from the Comparative Manifesto Project. It identifies political parties as ‘issue-owners’ and ‘issue-ignorers’, respectively, and finds considerable variation with regard to cleavage structures of party competition between countries and across time. One tentative conclusion from the analysis is that policy legacies play an important role in shaping cleavage structures.","DOI":"10.1080/01402382.2012.753703","ISSN":"0140-2382","shortTitle":"Who Owns Education?","author":[{"family":"Busemeyer","given":"Marius R."},{"family":"Franzmann","given":"Simon T."},{"family":"Garritzmann","given":"Julian L."}],"issued":{"date-parts":[["2013",2,27]]}},"prefix":"an exception is"}],"schema":"https://github.com/citation-style-language/schema/raw/master/csl-citation.json"} </w:instrText>
      </w:r>
      <w:r>
        <w:rPr>
          <w:rFonts w:cs="Times New Roman"/>
          <w:szCs w:val="24"/>
        </w:rPr>
        <w:fldChar w:fldCharType="separate"/>
      </w:r>
      <w:r w:rsidRPr="00616417">
        <w:rPr>
          <w:rFonts w:cs="Times New Roman"/>
        </w:rPr>
        <w:t>(an exception is Busemeyer, Franzmann, and Garritzmann 2013)</w:t>
      </w:r>
      <w:r>
        <w:rPr>
          <w:rFonts w:cs="Times New Roman"/>
          <w:szCs w:val="24"/>
        </w:rPr>
        <w:fldChar w:fldCharType="end"/>
      </w:r>
      <w:r>
        <w:rPr>
          <w:rFonts w:cs="Times New Roman"/>
          <w:szCs w:val="24"/>
        </w:rPr>
        <w:t xml:space="preserve">, but typically as an aggregate of voters’ perception of the party </w:t>
      </w:r>
      <w:r>
        <w:rPr>
          <w:rFonts w:cs="Times New Roman"/>
          <w:szCs w:val="24"/>
        </w:rPr>
        <w:fldChar w:fldCharType="begin"/>
      </w:r>
      <w:r>
        <w:rPr>
          <w:rFonts w:cs="Times New Roman"/>
          <w:szCs w:val="24"/>
        </w:rPr>
        <w:instrText xml:space="preserve"> ADDIN ZOTERO_ITEM CSL_CITATION {"citationID":"0d17Qzke","properties":{"formattedCitation":"(see e.g., Egan 2013; Stubager and Slothuus 2013; Petrocik 1996)","plainCitation":"(see e.g., Egan 2013; Stubager and Slothuus 2013; Petrocik 1996)"},"citationItems":[{"id":298,"uris":["http://zotero.org/users/local/7eX6MhG9/items/MI59MV5P"],"uri":["http://zotero.org/users/local/7eX6MhG9/items/MI59MV5P"],"itemData":{"id":298,"type":"book","title":"Partisan Priorties. How Issue Ownership Drives and Distorts American Politics","publisher":"Cambridge University Press","publisher-place":"Cambridge","event-place":"Cambridge","author":[{"family":"Egan","given":"Patrick"}],"issued":{"date-parts":[["2013"]]}},"prefix":"see e.g.,"},{"id":317,"uris":["http://zotero.org/users/local/7eX6MhG9/items/JQWMF23K"],"uri":["http://zotero.org/users/local/7eX6MhG9/items/JQWMF23K"],"itemData":{"id":317,"type":"article-journal","title":"What are the Sources of Political Parties' Issue Ownership? Testing Four Explanations at the Individual Level","container-title":"Political Behavior","page":"567–88","volume":"35","issue":"3","author":[{"family":"Stubager","given":"Rune"},{"family":"Slothuus","given":"Rune"}],"issued":{"date-parts":[["2013"]]}}},{"id":53,"uris":["http://zotero.org/users/local/7eX6MhG9/items/ENS4WF74"],"uri":["http://zotero.org/users/local/7eX6MhG9/items/ENS4WF74"],"itemData":{"id":53,"type":"article-journal","title":"Issue Ownership in Presidential Elections, with a 1980 Case Study","container-title":"American Journal of Political Science","page":"825–50","volume":"40","issue":"3","author":[{"family":"Petrocik","given":"John"}],"issued":{"date-parts":[["1996"]]}}}],"schema":"https://github.com/citation-style-language/schema/raw/master/csl-citation.json"} </w:instrText>
      </w:r>
      <w:r>
        <w:rPr>
          <w:rFonts w:cs="Times New Roman"/>
          <w:szCs w:val="24"/>
        </w:rPr>
        <w:fldChar w:fldCharType="separate"/>
      </w:r>
      <w:r w:rsidRPr="00251144">
        <w:rPr>
          <w:rFonts w:cs="Times New Roman"/>
        </w:rPr>
        <w:t>(see e.g., Egan 2013; Stubager and Slothuus 2013; Petrocik 1996)</w:t>
      </w:r>
      <w:r>
        <w:rPr>
          <w:rFonts w:cs="Times New Roman"/>
          <w:szCs w:val="24"/>
        </w:rPr>
        <w:fldChar w:fldCharType="end"/>
      </w:r>
      <w:r>
        <w:rPr>
          <w:rFonts w:cs="Times New Roman"/>
          <w:szCs w:val="24"/>
        </w:rPr>
        <w:t xml:space="preserve">. </w:t>
      </w:r>
    </w:p>
    <w:p w:rsidR="002F76B3" w:rsidRDefault="002F76B3" w:rsidP="00CC3E19">
      <w:pPr>
        <w:ind w:firstLine="720"/>
        <w:rPr>
          <w:rFonts w:cs="Times New Roman"/>
          <w:szCs w:val="24"/>
        </w:rPr>
      </w:pPr>
      <w:r>
        <w:rPr>
          <w:rFonts w:cs="Times New Roman"/>
          <w:szCs w:val="24"/>
        </w:rPr>
        <w:t>In the survey-question, r</w:t>
      </w:r>
      <w:r w:rsidRPr="00CC3E19">
        <w:rPr>
          <w:rFonts w:cs="Times New Roman"/>
          <w:szCs w:val="24"/>
        </w:rPr>
        <w:t xml:space="preserve">espondents can choose one party on each issue. The party with the strongest reputation is referred to as the issue owner. Adhering to standards in the literature </w:t>
      </w:r>
      <w:r w:rsidRPr="00CC3E19">
        <w:rPr>
          <w:rFonts w:cs="Times New Roman"/>
          <w:szCs w:val="24"/>
        </w:rPr>
        <w:fldChar w:fldCharType="begin"/>
      </w:r>
      <w:r>
        <w:rPr>
          <w:rFonts w:cs="Times New Roman"/>
          <w:szCs w:val="24"/>
        </w:rPr>
        <w:instrText xml:space="preserve"> ADDIN ZOTERO_ITEM CSL_CITATION {"citationID":"mKT87WBS","properties":{"formattedCitation":"(Petrocik 1996; Egan 2013: 66; Brasher 2009)","plainCitation":"(Petrocik 1996; Egan 2013: 66; Brasher 2009)"},"citationItems":[{"id":53,"uris":["http://zotero.org/users/local/7eX6MhG9/items/ENS4WF74"],"uri":["http://zotero.org/users/local/7eX6MhG9/items/ENS4WF74"],"itemData":{"id":53,"type":"article-journal","title":"Issue Ownership in Presidential Elections, with a 1980 Case Study","container-title":"American Journal of Political Science","page":"825–50","volume":"40","issue":"3","author":[{"family":"Petrocik","given":"John"}],"issued":{"date-parts":[["1996"]]}}},{"id":298,"uris":["http://zotero.org/users/local/7eX6MhG9/items/MI59MV5P"],"uri":["http://zotero.org/users/local/7eX6MhG9/items/MI59MV5P"],"itemData":{"id":298,"type":"book","title":"Partisan Priorties. How Issue Ownership Drives and Distorts American Politics","publisher":"Cambridge University Press","publisher-place":"Cambridge","event-place":"Cambridge","author":[{"family":"Egan","given":"Patrick"}],"issued":{"date-parts":[["2013"]]}},"suffix":": 66"},{"id":99,"uris":["http://zotero.org/users/local/7eX6MhG9/items/SJVKRC92"],"uri":["http://zotero.org/users/local/7eX6MhG9/items/SJVKRC92"],"itemData":{"id":99,"type":"article-journal","title":"The Dynamic Character of Political Party Evaluations","container-title":"Party Politics","page":"69–92","volume":"15","issue":"1","author":[{"family":"Brasher","given":"Holly"}],"issued":{"date-parts":[["2009"]]}}}],"schema":"https://github.com/citation-style-language/schema/raw/master/csl-citation.json"} </w:instrText>
      </w:r>
      <w:r w:rsidRPr="00CC3E19">
        <w:rPr>
          <w:rFonts w:cs="Times New Roman"/>
          <w:szCs w:val="24"/>
        </w:rPr>
        <w:fldChar w:fldCharType="separate"/>
      </w:r>
      <w:r w:rsidRPr="00C32EE3">
        <w:rPr>
          <w:rFonts w:cs="Times New Roman"/>
        </w:rPr>
        <w:t>(Petrocik 1996; Egan 2013: 66; Brasher 2009)</w:t>
      </w:r>
      <w:r w:rsidRPr="00CC3E19">
        <w:rPr>
          <w:rFonts w:cs="Times New Roman"/>
          <w:szCs w:val="24"/>
        </w:rPr>
        <w:fldChar w:fldCharType="end"/>
      </w:r>
      <w:r w:rsidRPr="00CC3E19">
        <w:rPr>
          <w:rFonts w:cs="Times New Roman"/>
          <w:szCs w:val="24"/>
        </w:rPr>
        <w:t>, this is calculated in two steps. First, the proportion of respondents naming each party on an issue is calculated, and respondents who did not name a party are excluded. Second, to identify the party with the strongest reputation among these endorsements on each issue, the score for the right-of-center party (or scores for the group of rightwing parties in multiparty systems) has been subtracted from the score of the left-of-center party at each point in time (the coding of parties is explained below). The measure of issue ownership thereby ranges from -100 (a left-of-center party gets all voter endorsements on the issue) to +100 (a right-of-center party gets all voter endorsements on the issue). If, for instance, the left-of-center party is endorsed by 30 percent of the voters, and the right-of-center party by 70 percent, this generates an issue ownership of +40 to the right-of-center party.</w:t>
      </w:r>
      <w:r w:rsidR="00E87D64">
        <w:rPr>
          <w:rStyle w:val="Slutnotehenvisning"/>
          <w:rFonts w:cs="Times New Roman"/>
          <w:szCs w:val="24"/>
        </w:rPr>
        <w:endnoteReference w:id="4"/>
      </w:r>
      <w:r w:rsidRPr="00CC3E19">
        <w:rPr>
          <w:rFonts w:cs="Times New Roman"/>
          <w:szCs w:val="24"/>
        </w:rPr>
        <w:t xml:space="preserve"> </w:t>
      </w:r>
    </w:p>
    <w:p w:rsidR="002F76B3" w:rsidRPr="00CC3E19" w:rsidRDefault="002F76B3" w:rsidP="00CC3E19">
      <w:pPr>
        <w:ind w:firstLine="720"/>
        <w:rPr>
          <w:rFonts w:cs="Times New Roman"/>
          <w:szCs w:val="24"/>
        </w:rPr>
      </w:pPr>
      <w:r>
        <w:rPr>
          <w:rFonts w:cs="Times New Roman"/>
          <w:szCs w:val="24"/>
        </w:rPr>
        <w:t xml:space="preserve">This measure is not only applied in existing studies in two-party systems but also in multiparty systems </w:t>
      </w:r>
      <w:r>
        <w:rPr>
          <w:rFonts w:cs="Times New Roman"/>
          <w:szCs w:val="24"/>
        </w:rPr>
        <w:fldChar w:fldCharType="begin"/>
      </w:r>
      <w:r>
        <w:rPr>
          <w:rFonts w:cs="Times New Roman"/>
          <w:szCs w:val="24"/>
        </w:rPr>
        <w:instrText xml:space="preserve"> ADDIN ZOTERO_ITEM CSL_CITATION {"citationID":"hoHQ2P3q","properties":{"formattedCitation":"(Stubager and Slothuus 2013)","plainCitation":"(Stubager and Slothuus 2013)"},"citationItems":[{"id":317,"uris":["http://zotero.org/users/local/7eX6MhG9/items/JQWMF23K"],"uri":["http://zotero.org/users/local/7eX6MhG9/items/JQWMF23K"],"itemData":{"id":317,"type":"article-journal","title":"What are the Sources of Political Parties' Issue Ownership? Testing Four Explanations at the Individual Level","container-title":"Political Behavior","page":"567–88","volume":"35","issue":"3","author":[{"family":"Stubager","given":"Rune"},{"family":"Slothuus","given":"Rune"}],"issued":{"date-parts":[["2013"]]}}}],"schema":"https://github.com/citation-style-language/schema/raw/master/csl-citation.json"} </w:instrText>
      </w:r>
      <w:r>
        <w:rPr>
          <w:rFonts w:cs="Times New Roman"/>
          <w:szCs w:val="24"/>
        </w:rPr>
        <w:fldChar w:fldCharType="separate"/>
      </w:r>
      <w:r w:rsidRPr="002529BF">
        <w:rPr>
          <w:rFonts w:cs="Times New Roman"/>
        </w:rPr>
        <w:t>(Stubager and Slothuus 2013)</w:t>
      </w:r>
      <w:r>
        <w:rPr>
          <w:rFonts w:cs="Times New Roman"/>
          <w:szCs w:val="24"/>
        </w:rPr>
        <w:fldChar w:fldCharType="end"/>
      </w:r>
      <w:r>
        <w:rPr>
          <w:rFonts w:cs="Times New Roman"/>
          <w:szCs w:val="24"/>
        </w:rPr>
        <w:t xml:space="preserve"> because also in this context</w:t>
      </w:r>
      <w:r w:rsidDel="00E8688C">
        <w:rPr>
          <w:rFonts w:cs="Times New Roman"/>
          <w:szCs w:val="24"/>
        </w:rPr>
        <w:t xml:space="preserve"> </w:t>
      </w:r>
      <w:r>
        <w:rPr>
          <w:rFonts w:cs="Times New Roman"/>
          <w:szCs w:val="24"/>
        </w:rPr>
        <w:t xml:space="preserve">it provides a parsimonious way to decide across a large number of countries and elections which side of the political spectrum has issue ownership. As party competition in multiparty systems usually is organized into two rival blocs on the left-right scale through the formation of a government together with parties that do not seek to replace it against the opposition, it is often more important to know whether left or right has issue ownership than, e.g., the communist party or the socialist party. Important consequences of a switch in issue ownership like a change of government are more likely in the former case </w:t>
      </w:r>
      <w:r>
        <w:rPr>
          <w:rFonts w:cs="Times New Roman"/>
          <w:szCs w:val="24"/>
        </w:rPr>
        <w:fldChar w:fldCharType="begin"/>
      </w:r>
      <w:r>
        <w:rPr>
          <w:rFonts w:cs="Times New Roman"/>
          <w:szCs w:val="24"/>
        </w:rPr>
        <w:instrText xml:space="preserve"> ADDIN ZOTERO_ITEM CSL_CITATION {"citationID":"Daxpx9OA","properties":{"formattedCitation":"(Andersen 2003)","plainCitation":"(Andersen 2003)"},"citationItems":[{"id":1149,"uris":["http://zotero.org/users/local/7eX6MhG9/items/VHXC6754"],"uri":["http://zotero.org/users/local/7eX6MhG9/items/VHXC6754"],"itemData":{"id":1149,"type":"article-journal","title":"The general election in Denmark, November 2001","container-title":"Electoral Studies","page":"186-193","volume":"22","issue":"1","source":"ScienceDirect","DOI":"10.1016/S0261-3794(02)00022-7","ISSN":"0261-3794","journalAbbreviation":"Electoral Studies","author":[{"family":"Andersen","given":"Jørgen Goul"}],"issued":{"date-parts":[["2003",3]]}}}],"schema":"https://github.com/citation-style-language/schema/raw/master/csl-citation.json"} </w:instrText>
      </w:r>
      <w:r>
        <w:rPr>
          <w:rFonts w:cs="Times New Roman"/>
          <w:szCs w:val="24"/>
        </w:rPr>
        <w:fldChar w:fldCharType="separate"/>
      </w:r>
      <w:r w:rsidRPr="00692A6A">
        <w:rPr>
          <w:rFonts w:cs="Times New Roman"/>
        </w:rPr>
        <w:t>(Andersen 2003)</w:t>
      </w:r>
      <w:r>
        <w:rPr>
          <w:rFonts w:cs="Times New Roman"/>
          <w:szCs w:val="24"/>
        </w:rPr>
        <w:fldChar w:fldCharType="end"/>
      </w:r>
      <w:r>
        <w:rPr>
          <w:rFonts w:cs="Times New Roman"/>
          <w:szCs w:val="24"/>
        </w:rPr>
        <w:t xml:space="preserve">. This focus is also evident in studies of party competition which predominantly look at mainstream parties’ efforts to make voters switch side through issue ownership </w:t>
      </w:r>
      <w:r>
        <w:rPr>
          <w:rFonts w:cs="Times New Roman"/>
          <w:szCs w:val="24"/>
        </w:rPr>
        <w:fldChar w:fldCharType="begin"/>
      </w:r>
      <w:r>
        <w:rPr>
          <w:rFonts w:cs="Times New Roman"/>
          <w:szCs w:val="24"/>
        </w:rPr>
        <w:instrText xml:space="preserve"> ADDIN ZOTERO_ITEM CSL_CITATION {"citationID":"Hz1W3shd","properties":{"formattedCitation":"(Meguid 2008; Bale 2003; Blomqvist and Green-Pedersen 2004; Davidsson and Marx 2013; Arndt 2014; one exception is Spoon, Hobolt, and De Vries 2013)","plainCitation":"(Meguid 2008; Bale 2003; Blomqvist and Green-Pedersen 2004; Davidsson and Marx 2013; Arndt 2014; one exception is Spoon, Hobolt, and De Vries 2013)"},"citationItems":[{"id":47,"uris":["http://zotero.org/users/local/7eX6MhG9/items/HKQDTRR5"],"uri":["http://zotero.org/users/local/7eX6MhG9/items/HKQDTRR5"],"itemData":{"id":47,"type":"article-journal","title":"Competition between Unequals: The Role of Mainstream Party Strategy in Niche Party Success","container-title":"American Political Science Review","page":"347–359","volume":"99","issue":"3","author":[{"family":"Meguid","given":"Bonnie"}],"issued":{"date-parts":[["2008"]]}}},{"id":10,"uris":["http://zotero.org/users/local/7eX6MhG9/items/IGC2EXGE"],"uri":["http://zotero.org/users/local/7eX6MhG9/items/IGC2EXGE"],"itemData":{"id":10,"type":"article-journal","title":"Cinderella and her ugly sisters: the mainstream and extreme right in Europe's bipolarising party systems","container-title":"West European Politics","page":"67–90","volume":"26","issue":"3","author":[{"family":"Bale","given":"T."}],"issued":{"date-parts":[["2003"]]}}},{"id":15,"uris":["http://zotero.org/users/local/7eX6MhG9/items/G9KJTD8H"],"uri":["http://zotero.org/users/local/7eX6MhG9/items/G9KJTD8H"],"itemData":{"id":15,"type":"article-journal","title":"Defeat at Home? Issue-ownership and Social Democratic Support in Scandinavia","container-title":"Government and Opposition","page":"587–613","volume":"39","issue":"4","author":[{"family":"Blomqvist","given":"Paula"},{"family":"Green-Pedersen","given":"Christoffer"}],"issued":{"date-parts":[["2004"]]}}},{"id":400,"uris":["http://zotero.org/users/local/7eX6MhG9/items/RB5KXMRW"],"uri":["http://zotero.org/users/local/7eX6MhG9/items/RB5KXMRW"],"itemData":{"id":400,"type":"article-journal","title":"Losing the Issue, Losing the Vote: Issue Competition and the Reform of Unemployment Insurance in Germany and Sweden","container-title":"Political Studies","page":"505-522","volume":"61","issue":"3","source":"Wiley Online Library","abstract":"Welfare state research tends to assume strong and enduring public support for welfare state institutions. We challenge this assumption and show that in times of economic crisis, positive welfare state attitudes are confronted with conflicting preferences for improvement of labour market performance. We argue that such movements in public opinion have led to issue competition among major political parties and subsequent radical reform of unemployment insurance in two least-likely cases. In both Germany and Sweden, incumbent governments were losing voters' confidence as a result of high and persistent unemployment. In Germany, the social democratic government saw falling competence ratings at the same time as the issue of unemployment was highly salient among voters. In order to win back confidence, the party shifted its policy stance and introduced reforms which reshaped the unemployment insurance system. In Sweden, the situation was similar with falling ratings for the social democratic government and high levels of salience for the issue of unemployment among voters. When the government did not introduce reforms, the opposition moved in and won issue ownership, and subsequently the election, on an agenda of radical reform.","ISSN":"1467-9248","shortTitle":"Losing the Issue, Losing the Vote","journalAbbreviation":"Polit Stud","language":"en","author":[{"family":"Davidsson","given":"Johan"},{"family":"Marx","given":"Paul"}],"issued":{"date-parts":[["2013",10,1]]}}},{"id":386,"uris":["http://zotero.org/users/local/7eX6MhG9/items/X283XRHW"],"uri":["http://zotero.org/users/local/7eX6MhG9/items/X283XRHW"],"itemData":{"id":386,"type":"article-journal","title":"Beating Social Democracy on Its Own Turf: Issue Convergence as Winning Formula for the Centre-Right in Universal Welfare States","container-title":"Scandinavian Political Studies","page":"149-170","volume":"37","issue":"2","source":"Wiley Online Library","abstract":"Recent elections yielded sweeping majorities for the centre-right in Scandinavia with a decade of pure centre-right majorities in Denmark and the longest sitting centre-right coalition in Sweden for decades. This is a blind spot in the issue voting literature, which would not expect centre-right parties to flourish in contexts where welfare issues have a natural salience as in the case of universal welfare states. In contrast, Scandinavian universal welfare states ought to benefit social democracy when it comes to issue voting on welfare issues. It is argued in this article that centre-right parties can beat social democrats by credibly converging to its social democratic opponent on issues of universal welfare. Issue ownership voting to the benefit of centre-right parties will then be strongest among voters perceiving the centre-right to have converged to social democracy and perceiving the centre-right as issue-owner. Using Danish National Election Studies, 1998–2007, the article shows that the Danish Liberal Party outperformed the Social Democrats on traditional welfare issues among those voters perceiving the Liberals to be ideologically close to the social democrats. The findings help us to understand why centre-right parties have recently turned into serious competitors on social democracy's turf: the universal welfare state.","ISSN":"1467-9477","shortTitle":"Beating Social Democracy on Its Own Turf","journalAbbreviation":"Scandinavian Political Studies","language":"en","author":[{"family":"Arndt","given":"Christoph"}],"issued":{"date-parts":[["2014",6,1]]}}},{"id":60,"uris":["http://zotero.org/users/local/7eX6MhG9/items/5J9EE623"],"uri":["http://zotero.org/users/local/7eX6MhG9/items/5J9EE623"],"itemData":{"id":60,"type":"article-journal","title":"Going green: Explaining issue competition on the environment","container-title":"European Journal of Political Research","author":[{"family":"Spoon","given":"Jae-Jae"},{"family":"Hobolt","given":"Sara"},{"family":"De Vries","given":"Cathrine"}],"issued":{"date-parts":[["2013"]]}},"prefix":"one exception is"}],"schema":"https://github.com/citation-style-language/schema/raw/master/csl-citation.json"} </w:instrText>
      </w:r>
      <w:r>
        <w:rPr>
          <w:rFonts w:cs="Times New Roman"/>
          <w:szCs w:val="24"/>
        </w:rPr>
        <w:fldChar w:fldCharType="separate"/>
      </w:r>
      <w:r w:rsidRPr="00046BDC">
        <w:rPr>
          <w:rFonts w:cs="Times New Roman"/>
        </w:rPr>
        <w:t>(Meguid 2008; Bale 2003; Blomqvist and Green-Pedersen 2004; Davidsson and Marx 2013; Arndt 2014; one exception is Spoon, Hobolt, and De Vries 2013)</w:t>
      </w:r>
      <w:r>
        <w:rPr>
          <w:rFonts w:cs="Times New Roman"/>
          <w:szCs w:val="24"/>
        </w:rPr>
        <w:fldChar w:fldCharType="end"/>
      </w:r>
      <w:r>
        <w:rPr>
          <w:rFonts w:cs="Times New Roman"/>
          <w:szCs w:val="24"/>
        </w:rPr>
        <w:t>.</w:t>
      </w:r>
      <w:r w:rsidR="00F75B86">
        <w:rPr>
          <w:rStyle w:val="Slutnotehenvisning"/>
          <w:rFonts w:cs="Times New Roman"/>
          <w:szCs w:val="24"/>
        </w:rPr>
        <w:endnoteReference w:id="5"/>
      </w:r>
    </w:p>
    <w:p w:rsidR="002F76B3" w:rsidRPr="00CC3E19" w:rsidRDefault="002F76B3" w:rsidP="00CC3E19">
      <w:pPr>
        <w:ind w:firstLine="720"/>
        <w:rPr>
          <w:rFonts w:cs="Times New Roman"/>
          <w:szCs w:val="24"/>
        </w:rPr>
      </w:pPr>
      <w:r w:rsidRPr="00CC3E19">
        <w:rPr>
          <w:rFonts w:cs="Times New Roman"/>
          <w:szCs w:val="24"/>
        </w:rPr>
        <w:t>In the analysis, the most popular party (or group of parties</w:t>
      </w:r>
      <w:r w:rsidR="00F75B86">
        <w:rPr>
          <w:rFonts w:cs="Times New Roman"/>
          <w:szCs w:val="24"/>
        </w:rPr>
        <w:t xml:space="preserve"> in multiparty systems</w:t>
      </w:r>
      <w:r w:rsidRPr="00CC3E19">
        <w:rPr>
          <w:rFonts w:cs="Times New Roman"/>
          <w:szCs w:val="24"/>
        </w:rPr>
        <w:t>) on an issue across time and countries is estimated in a univariate regression model with fixed effects across the country panels. In this model, which only includes the issue ownership variable, the intercept term estimates a weighted average across all observations taking into account that the number of observations (time points) as well as the variance of these observations vary across countries. The intercept indicates the average issue ownership across countries</w:t>
      </w:r>
      <w:r>
        <w:rPr>
          <w:rFonts w:cs="Times New Roman"/>
          <w:szCs w:val="24"/>
        </w:rPr>
        <w:t xml:space="preserve"> and over time</w:t>
      </w:r>
      <w:r w:rsidRPr="00CC3E19">
        <w:rPr>
          <w:rFonts w:cs="Times New Roman"/>
          <w:szCs w:val="24"/>
        </w:rPr>
        <w:t>. If this intercept is statistically significant, the issue ownership score is systematically different from zero</w:t>
      </w:r>
      <w:r>
        <w:rPr>
          <w:rFonts w:cs="Times New Roman"/>
          <w:szCs w:val="24"/>
        </w:rPr>
        <w:t xml:space="preserve"> (to the left or the right on the -100 to +100 scale)</w:t>
      </w:r>
      <w:r w:rsidRPr="00CC3E19">
        <w:rPr>
          <w:rFonts w:cs="Times New Roman"/>
          <w:szCs w:val="24"/>
        </w:rPr>
        <w:t xml:space="preserve"> and hence rather similar across countries.</w:t>
      </w:r>
      <w:r>
        <w:rPr>
          <w:rFonts w:cs="Times New Roman"/>
          <w:szCs w:val="24"/>
        </w:rPr>
        <w:t xml:space="preserve"> </w:t>
      </w:r>
      <w:r w:rsidRPr="00AA775C">
        <w:rPr>
          <w:rFonts w:cs="Times New Roman"/>
          <w:szCs w:val="24"/>
        </w:rPr>
        <w:t xml:space="preserve">If issue ownership changes a lot over time in </w:t>
      </w:r>
      <w:r>
        <w:rPr>
          <w:rFonts w:cs="Times New Roman"/>
          <w:szCs w:val="24"/>
        </w:rPr>
        <w:t xml:space="preserve">each of </w:t>
      </w:r>
      <w:r w:rsidRPr="00AA775C">
        <w:rPr>
          <w:rFonts w:cs="Times New Roman"/>
          <w:szCs w:val="24"/>
        </w:rPr>
        <w:t xml:space="preserve">the countries or is very different between countries, the observations in the regression will be positive and negative, and the regression estimate will be close to zero and </w:t>
      </w:r>
      <w:r>
        <w:rPr>
          <w:rFonts w:cs="Times New Roman"/>
          <w:szCs w:val="24"/>
        </w:rPr>
        <w:t xml:space="preserve">probably </w:t>
      </w:r>
      <w:r w:rsidRPr="00AA775C">
        <w:rPr>
          <w:rFonts w:cs="Times New Roman"/>
          <w:szCs w:val="24"/>
        </w:rPr>
        <w:t>statistically insignificant.</w:t>
      </w:r>
    </w:p>
    <w:p w:rsidR="009D663C" w:rsidRPr="00CC3E19" w:rsidRDefault="002F76B3" w:rsidP="00644CC6">
      <w:pPr>
        <w:ind w:firstLine="720"/>
        <w:rPr>
          <w:rFonts w:cs="Times New Roman"/>
          <w:szCs w:val="24"/>
        </w:rPr>
      </w:pPr>
      <w:r w:rsidRPr="00CC3E19">
        <w:rPr>
          <w:rFonts w:cs="Times New Roman"/>
          <w:szCs w:val="24"/>
        </w:rPr>
        <w:t>To ensure robust comparison, an observation on an issue for a country in a given year is only included if it contains at least 50 respondents. For the same reasons, the analysis only contains issues where more than five countries are present among which at least three have more than three time points. This reduces the number of issues from 46 to 12. Generally, information on these 12 issues is available for most countries across the full period, but it does vary</w:t>
      </w:r>
      <w:r>
        <w:rPr>
          <w:rFonts w:cs="Times New Roman"/>
          <w:szCs w:val="24"/>
        </w:rPr>
        <w:t xml:space="preserve"> (see </w:t>
      </w:r>
      <w:r w:rsidRPr="00CC3E19">
        <w:rPr>
          <w:rFonts w:cs="Times New Roman"/>
          <w:szCs w:val="24"/>
        </w:rPr>
        <w:t>Table 1</w:t>
      </w:r>
      <w:r>
        <w:rPr>
          <w:rFonts w:cs="Times New Roman"/>
          <w:szCs w:val="24"/>
        </w:rPr>
        <w:t>)</w:t>
      </w:r>
      <w:r w:rsidRPr="00CC3E19">
        <w:rPr>
          <w:rFonts w:cs="Times New Roman"/>
          <w:szCs w:val="24"/>
        </w:rPr>
        <w:t>.</w:t>
      </w:r>
      <w:r w:rsidR="00F92425">
        <w:rPr>
          <w:rFonts w:cs="Times New Roman"/>
          <w:szCs w:val="24"/>
        </w:rPr>
        <w:t xml:space="preserve"> However, i</w:t>
      </w:r>
      <w:r w:rsidR="009D663C">
        <w:rPr>
          <w:rFonts w:cs="Times New Roman"/>
          <w:szCs w:val="24"/>
        </w:rPr>
        <w:t>n several countries, measures of issue ownership ha</w:t>
      </w:r>
      <w:r w:rsidR="0081607F">
        <w:rPr>
          <w:rFonts w:cs="Times New Roman"/>
          <w:szCs w:val="24"/>
        </w:rPr>
        <w:t>ve</w:t>
      </w:r>
      <w:r w:rsidR="009D663C">
        <w:rPr>
          <w:rFonts w:cs="Times New Roman"/>
          <w:szCs w:val="24"/>
        </w:rPr>
        <w:t xml:space="preserve"> only been introduced recently. </w:t>
      </w:r>
      <w:r w:rsidR="00F92425">
        <w:rPr>
          <w:rFonts w:cs="Times New Roman"/>
          <w:szCs w:val="24"/>
        </w:rPr>
        <w:t xml:space="preserve">This information </w:t>
      </w:r>
      <w:r w:rsidR="009D663C" w:rsidRPr="00CC3E19">
        <w:rPr>
          <w:rFonts w:cs="Times New Roman"/>
          <w:szCs w:val="24"/>
        </w:rPr>
        <w:t>is important in order to shed light on the between-country variation in issue ownership, but may mislead the investigation of the temporal variation. If this group of countries is included in a temporal analysis and an issue ownership grows less certain, it may be a true temporal dynamic or a natural consequence of gradually including more countries as data becomes available.</w:t>
      </w:r>
      <w:r w:rsidR="00F92425">
        <w:rPr>
          <w:rFonts w:cs="Times New Roman"/>
          <w:szCs w:val="24"/>
        </w:rPr>
        <w:t xml:space="preserve"> Similarly, countries with long time-series data on an issue and changes in issue-ownership over time may wrongly indicate great dissimilarity in a cross-country analysis even if the current issue ownership is similar to other countries. To avoid such uncertainties, the analysis is divided into two</w:t>
      </w:r>
      <w:r w:rsidR="00BB592B">
        <w:rPr>
          <w:rFonts w:cs="Times New Roman"/>
          <w:szCs w:val="24"/>
        </w:rPr>
        <w:t xml:space="preserve"> parts</w:t>
      </w:r>
      <w:r w:rsidR="00F92425">
        <w:rPr>
          <w:rFonts w:cs="Times New Roman"/>
          <w:szCs w:val="24"/>
        </w:rPr>
        <w:t xml:space="preserve">. </w:t>
      </w:r>
      <w:r w:rsidR="00BB592B">
        <w:rPr>
          <w:rFonts w:cs="Times New Roman"/>
          <w:szCs w:val="24"/>
        </w:rPr>
        <w:t>The</w:t>
      </w:r>
      <w:r w:rsidR="00F92425">
        <w:rPr>
          <w:rFonts w:cs="Times New Roman"/>
          <w:szCs w:val="24"/>
        </w:rPr>
        <w:t xml:space="preserve"> cross-time analysis includes only countries that have at least three observations on the issue. </w:t>
      </w:r>
      <w:r w:rsidR="00BB592B">
        <w:rPr>
          <w:rFonts w:cs="Times New Roman"/>
          <w:szCs w:val="24"/>
        </w:rPr>
        <w:t>The</w:t>
      </w:r>
      <w:r w:rsidR="00F92425">
        <w:rPr>
          <w:rFonts w:cs="Times New Roman"/>
          <w:szCs w:val="24"/>
        </w:rPr>
        <w:t xml:space="preserve"> cross-country analysis looks at information only after 2000 for each country</w:t>
      </w:r>
      <w:r w:rsidR="00644CC6">
        <w:rPr>
          <w:rFonts w:cs="Times New Roman"/>
          <w:szCs w:val="24"/>
        </w:rPr>
        <w:t>. A cross-country analysis before 2000 is not possible due to the smaller number of countries in this time period.</w:t>
      </w:r>
      <w:r w:rsidR="00644CC6" w:rsidRPr="00CC3E19">
        <w:rPr>
          <w:rFonts w:cs="Times New Roman"/>
          <w:szCs w:val="24"/>
        </w:rPr>
        <w:t xml:space="preserve"> </w:t>
      </w:r>
    </w:p>
    <w:p w:rsidR="00F3561F" w:rsidRDefault="002F76B3" w:rsidP="00F44A28">
      <w:pPr>
        <w:ind w:firstLine="720"/>
        <w:rPr>
          <w:rFonts w:cs="Times New Roman"/>
          <w:szCs w:val="24"/>
        </w:rPr>
      </w:pPr>
      <w:r w:rsidRPr="00CC3E19">
        <w:rPr>
          <w:rFonts w:cs="Times New Roman"/>
          <w:szCs w:val="24"/>
        </w:rPr>
        <w:t xml:space="preserve">To allow comparison, parties have been coded into party families using the approach of the Comparative Manifesto Project </w:t>
      </w:r>
      <w:r w:rsidRPr="00CC3E19">
        <w:rPr>
          <w:rFonts w:cs="Times New Roman"/>
          <w:szCs w:val="24"/>
        </w:rPr>
        <w:fldChar w:fldCharType="begin"/>
      </w:r>
      <w:r w:rsidRPr="00CC3E19">
        <w:rPr>
          <w:rFonts w:cs="Times New Roman"/>
          <w:szCs w:val="24"/>
        </w:rPr>
        <w:instrText xml:space="preserve"> ADDIN ZOTERO_ITEM CSL_CITATION {"citationID":"hoKiqZ0k","properties":{"formattedCitation":"(Volkens et al. 2014)","plainCitation":"(Volkens et al. 2014)"},"citationItems":[{"id":1041,"uris":["http://zotero.org/users/local/7eX6MhG9/items/M897MECK"],"uri":["http://zotero.org/users/local/7eX6MhG9/items/M897MECK"],"itemData":{"id":1041,"type":"article","title":"The Manifesto Data Collection. Manifesto Project (MRG/CMP/MARPOR)","publisher":"Berlin: Wissenschaftszentrum Berlin für Sozialforschung (WZB)","author":[{"family":"Volkens","given":"Andrea"},{"family":"Lehmann","given":"Pola"},{"family":"Merz","given":"Nicolas"},{"family":"Regel","given":"Sven"},{"family":"Werner","given":"Annika"},{"family":"Schultze","given":"Henrike"}],"issued":{"date-parts":[["2014"]]}}}],"schema":"https://github.com/citation-style-language/schema/raw/master/csl-citation.json"} </w:instrText>
      </w:r>
      <w:r w:rsidRPr="00CC3E19">
        <w:rPr>
          <w:rFonts w:cs="Times New Roman"/>
          <w:szCs w:val="24"/>
        </w:rPr>
        <w:fldChar w:fldCharType="separate"/>
      </w:r>
      <w:r w:rsidRPr="00CC3E19">
        <w:rPr>
          <w:rFonts w:cs="Times New Roman"/>
          <w:szCs w:val="24"/>
        </w:rPr>
        <w:t>(Volkens et al. 2014)</w:t>
      </w:r>
      <w:r w:rsidRPr="00CC3E19">
        <w:rPr>
          <w:rFonts w:cs="Times New Roman"/>
          <w:szCs w:val="24"/>
        </w:rPr>
        <w:fldChar w:fldCharType="end"/>
      </w:r>
      <w:r w:rsidRPr="00CC3E19">
        <w:rPr>
          <w:rFonts w:cs="Times New Roman"/>
          <w:szCs w:val="24"/>
        </w:rPr>
        <w:t>,</w:t>
      </w:r>
      <w:r w:rsidRPr="00CC3E19">
        <w:rPr>
          <w:rStyle w:val="Slutnotehenvisning"/>
          <w:rFonts w:cs="Times New Roman"/>
          <w:szCs w:val="24"/>
        </w:rPr>
        <w:endnoteReference w:id="6"/>
      </w:r>
      <w:r w:rsidRPr="00CC3E19">
        <w:rPr>
          <w:rFonts w:cs="Times New Roman"/>
          <w:szCs w:val="24"/>
        </w:rPr>
        <w:t xml:space="preserve"> where liberal parties</w:t>
      </w:r>
      <w:r w:rsidR="00F3561F">
        <w:rPr>
          <w:rStyle w:val="Slutnotehenvisning"/>
          <w:rFonts w:cs="Times New Roman"/>
          <w:szCs w:val="24"/>
        </w:rPr>
        <w:endnoteReference w:id="7"/>
      </w:r>
      <w:r w:rsidRPr="00CC3E19">
        <w:rPr>
          <w:rFonts w:cs="Times New Roman"/>
          <w:szCs w:val="24"/>
        </w:rPr>
        <w:t xml:space="preserve"> have a code just like conservative, Christian democratic, agrarian, and extreme right parties (the right-of-center parties in the analysis)</w:t>
      </w:r>
      <w:r w:rsidRPr="00CC3E19">
        <w:rPr>
          <w:rStyle w:val="Slutnotehenvisning"/>
          <w:rFonts w:cs="Times New Roman"/>
          <w:szCs w:val="24"/>
        </w:rPr>
        <w:endnoteReference w:id="8"/>
      </w:r>
      <w:r w:rsidRPr="00CC3E19">
        <w:rPr>
          <w:rFonts w:cs="Times New Roman"/>
          <w:szCs w:val="24"/>
        </w:rPr>
        <w:t>, as well as social democratic, green, and socialist/communist parties (the left-of-center parties).</w:t>
      </w:r>
      <w:r w:rsidRPr="00CC3E19">
        <w:rPr>
          <w:rStyle w:val="Slutnotehenvisning"/>
          <w:rFonts w:cs="Times New Roman"/>
          <w:szCs w:val="24"/>
        </w:rPr>
        <w:endnoteReference w:id="9"/>
      </w:r>
      <w:r w:rsidRPr="00CC3E19">
        <w:rPr>
          <w:rFonts w:cs="Times New Roman"/>
          <w:szCs w:val="24"/>
        </w:rPr>
        <w:t xml:space="preserve"> Parties not in parliament are left out. </w:t>
      </w:r>
      <w:r w:rsidR="00F3561F">
        <w:rPr>
          <w:rFonts w:cs="Times New Roman"/>
          <w:szCs w:val="24"/>
        </w:rPr>
        <w:t xml:space="preserve">This </w:t>
      </w:r>
      <w:r w:rsidR="00AA61B5">
        <w:rPr>
          <w:rFonts w:cs="Times New Roman"/>
          <w:szCs w:val="24"/>
        </w:rPr>
        <w:t xml:space="preserve">classification </w:t>
      </w:r>
      <w:r w:rsidR="00F3561F">
        <w:rPr>
          <w:rFonts w:cs="Times New Roman"/>
          <w:szCs w:val="24"/>
        </w:rPr>
        <w:t>does not affect the calculation of the overall left-right issue ownership which is still based on information at the party-level</w:t>
      </w:r>
      <w:r w:rsidR="00AA61B5">
        <w:rPr>
          <w:rFonts w:cs="Times New Roman"/>
          <w:szCs w:val="24"/>
        </w:rPr>
        <w:t xml:space="preserve">. The classification only </w:t>
      </w:r>
      <w:r w:rsidR="00F3561F">
        <w:rPr>
          <w:rFonts w:cs="Times New Roman"/>
          <w:szCs w:val="24"/>
        </w:rPr>
        <w:t>ensures that parties are rightly assigned to either the left or the right</w:t>
      </w:r>
      <w:r w:rsidR="00AA61B5" w:rsidRPr="00AA61B5">
        <w:rPr>
          <w:rFonts w:cs="Times New Roman"/>
          <w:szCs w:val="24"/>
        </w:rPr>
        <w:t xml:space="preserve"> </w:t>
      </w:r>
      <w:r w:rsidR="00AA61B5">
        <w:rPr>
          <w:rFonts w:cs="Times New Roman"/>
          <w:szCs w:val="24"/>
        </w:rPr>
        <w:t>across countries</w:t>
      </w:r>
      <w:r w:rsidR="00F3561F">
        <w:rPr>
          <w:rFonts w:cs="Times New Roman"/>
          <w:szCs w:val="24"/>
        </w:rPr>
        <w:t>.</w:t>
      </w:r>
    </w:p>
    <w:p w:rsidR="002F76B3" w:rsidRPr="00CC3E19" w:rsidRDefault="002F76B3" w:rsidP="00F44A28">
      <w:pPr>
        <w:ind w:firstLine="720"/>
        <w:rPr>
          <w:rFonts w:cs="Times New Roman"/>
          <w:szCs w:val="24"/>
        </w:rPr>
      </w:pPr>
      <w:r w:rsidRPr="00CC3E19">
        <w:rPr>
          <w:rFonts w:cs="Times New Roman"/>
          <w:szCs w:val="24"/>
        </w:rPr>
        <w:t>Similarly, question items have been content-coded into issue categories</w:t>
      </w:r>
      <w:r w:rsidRPr="00CC3E19">
        <w:rPr>
          <w:rStyle w:val="Slutnotehenvisning"/>
          <w:rFonts w:cs="Times New Roman"/>
          <w:szCs w:val="24"/>
        </w:rPr>
        <w:endnoteReference w:id="10"/>
      </w:r>
      <w:r w:rsidRPr="00CC3E19">
        <w:rPr>
          <w:rFonts w:cs="Times New Roman"/>
          <w:szCs w:val="24"/>
        </w:rPr>
        <w:t>, i.e., questions on health into one category etc.</w:t>
      </w:r>
      <w:r w:rsidRPr="00CC3E19">
        <w:rPr>
          <w:rStyle w:val="Slutnotehenvisning"/>
          <w:rFonts w:cs="Times New Roman"/>
          <w:szCs w:val="24"/>
        </w:rPr>
        <w:endnoteReference w:id="11"/>
      </w:r>
      <w:r w:rsidRPr="00CC3E19">
        <w:rPr>
          <w:rFonts w:cs="Times New Roman"/>
          <w:szCs w:val="24"/>
        </w:rPr>
        <w:t xml:space="preserve"> Questions about multiple issues are excluded. This issue coding was rather straightforward, but coding questions from different election studies is not necessarily unproblematic. First, question wording varies across countries, i.e., the voter is asked to pick which party “is best at solving (or dealing with) an issue” or “will do a better job at solving an issue”, which is the standard in most countries, or to choose the party with “a good policy” in Sweden and “the party closest to own view” in Australia. These are not trivial variations and have been shown to affect which predispositions voters use to choose a party </w:t>
      </w:r>
      <w:r w:rsidRPr="00CC3E19">
        <w:rPr>
          <w:rFonts w:cs="Times New Roman"/>
          <w:szCs w:val="24"/>
        </w:rPr>
        <w:fldChar w:fldCharType="begin"/>
      </w:r>
      <w:r w:rsidRPr="00CC3E19">
        <w:rPr>
          <w:rFonts w:cs="Times New Roman"/>
          <w:szCs w:val="24"/>
        </w:rPr>
        <w:instrText xml:space="preserve"> ADDIN ZOTERO_ITEM CSL_CITATION {"citationID":"BGEcHBbQ","properties":{"formattedCitation":"(Camp et al. 2014)","plainCitation":"(Camp et al. 2014)"},"citationItems":[{"id":448,"uris":["http://zotero.org/users/local/7eX6MhG9/items/8RSMDFDA"],"uri":["http://zotero.org/users/local/7eX6MhG9/items/8RSMDFDA"],"itemData":{"id":448,"type":"article-journal","title":"Measuring Issue Ownership. A Question Wording Experiment.","container-title":"manuscript","author":[{"family":"Camp","given":"Kirsten"},{"family":"Walgrave","given":"Stefaan"},{"family":"Lefevere","given":"Jonas"},{"family":"Tresch","given":"Anke"}],"issued":{"date-parts":[["2014"]]}}}],"schema":"https://github.com/citation-style-language/schema/raw/master/csl-citation.json"} </w:instrText>
      </w:r>
      <w:r w:rsidRPr="00CC3E19">
        <w:rPr>
          <w:rFonts w:cs="Times New Roman"/>
          <w:szCs w:val="24"/>
        </w:rPr>
        <w:fldChar w:fldCharType="separate"/>
      </w:r>
      <w:r w:rsidRPr="00CC3E19">
        <w:rPr>
          <w:rFonts w:cs="Times New Roman"/>
          <w:szCs w:val="24"/>
        </w:rPr>
        <w:t>(Camp et al. 2014)</w:t>
      </w:r>
      <w:r w:rsidRPr="00CC3E19">
        <w:rPr>
          <w:rFonts w:cs="Times New Roman"/>
          <w:szCs w:val="24"/>
        </w:rPr>
        <w:fldChar w:fldCharType="end"/>
      </w:r>
      <w:r w:rsidRPr="00CC3E19">
        <w:rPr>
          <w:rFonts w:cs="Times New Roman"/>
          <w:szCs w:val="24"/>
        </w:rPr>
        <w:t xml:space="preserve">. However, it is also shown that the choice of the preferred party in the aggregate is much less affected </w:t>
      </w:r>
      <w:r w:rsidRPr="00CC3E19">
        <w:rPr>
          <w:rFonts w:cs="Times New Roman"/>
          <w:szCs w:val="24"/>
        </w:rPr>
        <w:fldChar w:fldCharType="begin"/>
      </w:r>
      <w:r w:rsidRPr="00CC3E19">
        <w:rPr>
          <w:rFonts w:cs="Times New Roman"/>
          <w:szCs w:val="24"/>
        </w:rPr>
        <w:instrText xml:space="preserve"> ADDIN ZOTERO_ITEM CSL_CITATION {"citationID":"TZ4Wr1vk","properties":{"formattedCitation":"(Camp et al. 2014)","plainCitation":"(Camp et al. 2014)"},"citationItems":[{"id":448,"uris":["http://zotero.org/users/local/7eX6MhG9/items/8RSMDFDA"],"uri":["http://zotero.org/users/local/7eX6MhG9/items/8RSMDFDA"],"itemData":{"id":448,"type":"article-journal","title":"Measuring Issue Ownership. A Question Wording Experiment.","container-title":"manuscript","author":[{"family":"Camp","given":"Kirsten"},{"family":"Walgrave","given":"Stefaan"},{"family":"Lefevere","given":"Jonas"},{"family":"Tresch","given":"Anke"}],"issued":{"date-parts":[["2014"]]}}}],"schema":"https://github.com/citation-style-language/schema/raw/master/csl-citation.json"} </w:instrText>
      </w:r>
      <w:r w:rsidRPr="00CC3E19">
        <w:rPr>
          <w:rFonts w:cs="Times New Roman"/>
          <w:szCs w:val="24"/>
        </w:rPr>
        <w:fldChar w:fldCharType="separate"/>
      </w:r>
      <w:r w:rsidRPr="00CC3E19">
        <w:rPr>
          <w:rFonts w:cs="Times New Roman"/>
          <w:szCs w:val="24"/>
        </w:rPr>
        <w:t>(Camp et al. 2014)</w:t>
      </w:r>
      <w:r w:rsidRPr="00CC3E19">
        <w:rPr>
          <w:rFonts w:cs="Times New Roman"/>
          <w:szCs w:val="24"/>
        </w:rPr>
        <w:fldChar w:fldCharType="end"/>
      </w:r>
      <w:r w:rsidRPr="00CC3E19">
        <w:rPr>
          <w:rFonts w:cs="Times New Roman"/>
          <w:szCs w:val="24"/>
        </w:rPr>
        <w:t>, and this is the information of interest in the current analysis.</w:t>
      </w:r>
      <w:r w:rsidRPr="00CC3E19">
        <w:rPr>
          <w:rStyle w:val="Slutnotehenvisning"/>
          <w:rFonts w:cs="Times New Roman"/>
          <w:szCs w:val="24"/>
        </w:rPr>
        <w:endnoteReference w:id="12"/>
      </w:r>
      <w:r w:rsidRPr="00CC3E19">
        <w:rPr>
          <w:rFonts w:cs="Times New Roman"/>
          <w:szCs w:val="24"/>
        </w:rPr>
        <w:t xml:space="preserve"> </w:t>
      </w:r>
    </w:p>
    <w:p w:rsidR="002F76B3" w:rsidRPr="00CC3E19" w:rsidRDefault="002F76B3" w:rsidP="00CC3E19">
      <w:pPr>
        <w:ind w:firstLine="720"/>
        <w:rPr>
          <w:rFonts w:cs="Times New Roman"/>
          <w:szCs w:val="24"/>
        </w:rPr>
      </w:pPr>
      <w:r w:rsidRPr="00CC3E19">
        <w:rPr>
          <w:rFonts w:cs="Times New Roman"/>
          <w:szCs w:val="24"/>
        </w:rPr>
        <w:t>Second, the phrasing of the issue on which to evaluate the parties differs in a few examples like unemployment where voters are asked to evaluate parties with regard to “fighting unemployment” in Germany and Denmark, “creating jobs” in Canada, and “their policy on employment” in Sweden. This may become a problem for temporal and spatial comparison insofar as the aggregate choice of party differs across these options. In most cases, though, the same presentation is used across countries. Instead of asking about an issue just by its name, voters are asked which party is best able to e.g. “lower the tax burden”, “fight crime”, or “protect the environment” (e.g. in Germany, Canada, and Denmark). In these instances, voters may be sent in a certain direction in terms of choosing a party. But since they are usually sent in the same direction across time and countries, this makes relative comparisons less of a concern and probably genuinely reflects how voters think about an issue and therefore also the preferred party – in many cases, the content reflects a widely shared goal.</w:t>
      </w:r>
    </w:p>
    <w:p w:rsidR="002F76B3" w:rsidRPr="00CC3E19" w:rsidRDefault="002F76B3" w:rsidP="00CC3E19">
      <w:pPr>
        <w:jc w:val="both"/>
        <w:rPr>
          <w:rFonts w:cs="Times New Roman"/>
          <w:b/>
          <w:szCs w:val="24"/>
        </w:rPr>
      </w:pPr>
    </w:p>
    <w:p w:rsidR="002F76B3" w:rsidRPr="00CC3E19" w:rsidRDefault="002F76B3" w:rsidP="00CC3E19">
      <w:pPr>
        <w:rPr>
          <w:rFonts w:cs="Times New Roman"/>
          <w:b/>
          <w:szCs w:val="24"/>
        </w:rPr>
      </w:pPr>
      <w:r w:rsidRPr="00CC3E19">
        <w:rPr>
          <w:rFonts w:cs="Times New Roman"/>
          <w:b/>
          <w:szCs w:val="24"/>
        </w:rPr>
        <w:t>Issue ownership stability and change: empirical evidence</w:t>
      </w:r>
    </w:p>
    <w:p w:rsidR="002F76B3" w:rsidRPr="00CC3E19" w:rsidRDefault="002F76B3" w:rsidP="00CC3E19">
      <w:pPr>
        <w:rPr>
          <w:rFonts w:cs="Times New Roman"/>
          <w:szCs w:val="24"/>
        </w:rPr>
      </w:pPr>
      <w:r w:rsidRPr="00CC3E19">
        <w:rPr>
          <w:rFonts w:cs="Times New Roman"/>
          <w:szCs w:val="24"/>
        </w:rPr>
        <w:t xml:space="preserve">An issue is unequivocally associated with a certain type of party if a systematic and consistent pattern in the preferred party on an issue emerges across time and space. This is tested in Figure 1, which reports the overall left-right endorsement across issues (the right-of-center party score subtracted from the left-of-center party score) for all countries in the entire period. The dots in Figure 1 display the intercept term from the univariate fixed effect regression for each issue with countries as panels (reported in Table A3 in the online appendix). The short horizontal lines indicate its confidence interval. If the line is to the right (left) of and does not touch the vertical line, a right (left) party </w:t>
      </w:r>
      <w:r>
        <w:rPr>
          <w:rFonts w:cs="Times New Roman"/>
          <w:szCs w:val="24"/>
        </w:rPr>
        <w:t xml:space="preserve">generally </w:t>
      </w:r>
      <w:r w:rsidRPr="00CC3E19">
        <w:rPr>
          <w:rFonts w:cs="Times New Roman"/>
          <w:szCs w:val="24"/>
        </w:rPr>
        <w:t xml:space="preserve">has the issue ownership. </w:t>
      </w:r>
    </w:p>
    <w:p w:rsidR="002F76B3" w:rsidRPr="00CC3E19" w:rsidRDefault="002F76B3" w:rsidP="00CC3E19">
      <w:pPr>
        <w:jc w:val="center"/>
        <w:rPr>
          <w:rFonts w:cs="Times New Roman"/>
          <w:szCs w:val="24"/>
        </w:rPr>
      </w:pPr>
      <w:r w:rsidRPr="00CC3E19">
        <w:rPr>
          <w:rFonts w:cs="Times New Roman"/>
          <w:szCs w:val="24"/>
        </w:rPr>
        <w:t>[Figure 1]</w:t>
      </w:r>
    </w:p>
    <w:p w:rsidR="009D663C" w:rsidRDefault="002F76B3" w:rsidP="009D663C">
      <w:pPr>
        <w:rPr>
          <w:rFonts w:cs="Times New Roman"/>
          <w:szCs w:val="24"/>
        </w:rPr>
      </w:pPr>
      <w:r w:rsidRPr="00CC3E19">
        <w:rPr>
          <w:rFonts w:cs="Times New Roman"/>
          <w:szCs w:val="24"/>
        </w:rPr>
        <w:t>The issue ownership estimates fall on a diagonal line. At both ends of the line, some issues are strongly affiliated with one type of party. Several issues are close to a score of 40, which means that one party is endorsed by maybe 70 percent and the other only by 30 percent. The advantage is in most parts considerable, and though the highest scores do not exceed 50, they typically mean that one party is endorsed by a majority of voters – even the party with the weakest score will get some endorsement, pushing the relative advantage score below 50. To the left of the vertical line, the environment</w:t>
      </w:r>
      <w:r>
        <w:rPr>
          <w:rFonts w:cs="Times New Roman"/>
          <w:szCs w:val="24"/>
        </w:rPr>
        <w:t>,</w:t>
      </w:r>
      <w:r w:rsidRPr="00CC3E19">
        <w:rPr>
          <w:rFonts w:cs="Times New Roman"/>
          <w:szCs w:val="24"/>
        </w:rPr>
        <w:t xml:space="preserve"> social security</w:t>
      </w:r>
      <w:r>
        <w:rPr>
          <w:rFonts w:cs="Times New Roman"/>
          <w:szCs w:val="24"/>
        </w:rPr>
        <w:t xml:space="preserve">, health, families, and elderly care </w:t>
      </w:r>
      <w:r w:rsidRPr="00CC3E19">
        <w:rPr>
          <w:rFonts w:cs="Times New Roman"/>
          <w:szCs w:val="24"/>
        </w:rPr>
        <w:t xml:space="preserve">are </w:t>
      </w:r>
      <w:r>
        <w:rPr>
          <w:rFonts w:cs="Times New Roman"/>
          <w:szCs w:val="24"/>
        </w:rPr>
        <w:t>firmly</w:t>
      </w:r>
      <w:r w:rsidRPr="00CC3E19">
        <w:rPr>
          <w:rFonts w:cs="Times New Roman"/>
          <w:szCs w:val="24"/>
        </w:rPr>
        <w:t xml:space="preserve"> associated with left parties. To the right of the vertical line, law and order, asylum and immigration, the EU, tax, and the economy are </w:t>
      </w:r>
      <w:r>
        <w:rPr>
          <w:rFonts w:cs="Times New Roman"/>
          <w:szCs w:val="24"/>
        </w:rPr>
        <w:t>solidly</w:t>
      </w:r>
      <w:r w:rsidRPr="00CC3E19">
        <w:rPr>
          <w:rFonts w:cs="Times New Roman"/>
          <w:szCs w:val="24"/>
        </w:rPr>
        <w:t xml:space="preserve"> associated with right parties. This is much in agreement with previous findings, apart from the economy which is often found not to belong to any party. In the middle of the diagonal line, two issues do not escape the vertical line. The negative coefficients for </w:t>
      </w:r>
      <w:r>
        <w:rPr>
          <w:rFonts w:cs="Times New Roman"/>
          <w:szCs w:val="24"/>
        </w:rPr>
        <w:t>education and unemployment</w:t>
      </w:r>
      <w:r w:rsidRPr="00CC3E19">
        <w:rPr>
          <w:rFonts w:cs="Times New Roman"/>
          <w:szCs w:val="24"/>
        </w:rPr>
        <w:t xml:space="preserve"> indicate that left parties have issue ownership, but the intersection of the </w:t>
      </w:r>
      <w:r>
        <w:rPr>
          <w:rFonts w:cs="Times New Roman"/>
          <w:szCs w:val="24"/>
        </w:rPr>
        <w:t>confidence intervals</w:t>
      </w:r>
      <w:r w:rsidRPr="00CC3E19">
        <w:rPr>
          <w:rFonts w:cs="Times New Roman"/>
          <w:szCs w:val="24"/>
        </w:rPr>
        <w:t xml:space="preserve"> with the vertical line reveals that this is not systematic. The direction of issue ownership corresponds to previous studies that also attach these issues to left-of-center parties. These latter issue ownerships may be truly unsettled, but the finding may also be driven either by certain countries or by a certain period</w:t>
      </w:r>
      <w:r w:rsidR="009D663C">
        <w:rPr>
          <w:rFonts w:cs="Times New Roman"/>
          <w:szCs w:val="24"/>
        </w:rPr>
        <w:t xml:space="preserve"> (cf. the discussion of data)</w:t>
      </w:r>
      <w:r w:rsidRPr="00CC3E19">
        <w:rPr>
          <w:rFonts w:cs="Times New Roman"/>
          <w:szCs w:val="24"/>
        </w:rPr>
        <w:t xml:space="preserve">. The same could apply for the larger group of </w:t>
      </w:r>
      <w:r>
        <w:rPr>
          <w:rFonts w:cs="Times New Roman"/>
          <w:szCs w:val="24"/>
        </w:rPr>
        <w:t xml:space="preserve">more </w:t>
      </w:r>
      <w:r w:rsidRPr="00CC3E19">
        <w:rPr>
          <w:rFonts w:cs="Times New Roman"/>
          <w:szCs w:val="24"/>
        </w:rPr>
        <w:t>settled issue ownerships.</w:t>
      </w:r>
      <w:r w:rsidR="009D663C">
        <w:rPr>
          <w:rFonts w:cs="Times New Roman"/>
          <w:szCs w:val="24"/>
        </w:rPr>
        <w:t xml:space="preserve"> </w:t>
      </w:r>
      <w:r w:rsidRPr="00CC3E19">
        <w:rPr>
          <w:rFonts w:cs="Times New Roman"/>
          <w:szCs w:val="24"/>
        </w:rPr>
        <w:t xml:space="preserve">To find out, the analysis proceeds in two directions: cross-country variation in associations between parties and issues and cross-time variation. </w:t>
      </w:r>
    </w:p>
    <w:p w:rsidR="002F76B3" w:rsidRPr="00CC3E19" w:rsidRDefault="002F76B3" w:rsidP="00CC3E19">
      <w:pPr>
        <w:jc w:val="both"/>
        <w:rPr>
          <w:rFonts w:cs="Times New Roman"/>
          <w:szCs w:val="24"/>
        </w:rPr>
      </w:pPr>
    </w:p>
    <w:p w:rsidR="002F76B3" w:rsidRPr="00CC3E19" w:rsidRDefault="002F76B3" w:rsidP="00CC3E19">
      <w:pPr>
        <w:rPr>
          <w:rFonts w:cs="Times New Roman"/>
          <w:b/>
          <w:szCs w:val="24"/>
        </w:rPr>
      </w:pPr>
      <w:r>
        <w:rPr>
          <w:rFonts w:cs="Times New Roman"/>
          <w:b/>
          <w:szCs w:val="24"/>
        </w:rPr>
        <w:t>Cross-c</w:t>
      </w:r>
      <w:r w:rsidRPr="00CC3E19">
        <w:rPr>
          <w:rFonts w:cs="Times New Roman"/>
          <w:b/>
          <w:szCs w:val="24"/>
        </w:rPr>
        <w:t xml:space="preserve">ountry </w:t>
      </w:r>
      <w:r>
        <w:rPr>
          <w:rFonts w:cs="Times New Roman"/>
          <w:b/>
          <w:szCs w:val="24"/>
        </w:rPr>
        <w:t>p</w:t>
      </w:r>
      <w:r w:rsidRPr="00CC3E19">
        <w:rPr>
          <w:rFonts w:cs="Times New Roman"/>
          <w:b/>
          <w:szCs w:val="24"/>
        </w:rPr>
        <w:t>attern</w:t>
      </w:r>
    </w:p>
    <w:p w:rsidR="00A922A0" w:rsidRDefault="002F76B3" w:rsidP="00CC3E19">
      <w:pPr>
        <w:rPr>
          <w:rFonts w:cs="Times New Roman"/>
          <w:szCs w:val="24"/>
        </w:rPr>
      </w:pPr>
      <w:r w:rsidRPr="00CC3E19">
        <w:rPr>
          <w:rFonts w:cs="Times New Roman"/>
          <w:szCs w:val="24"/>
        </w:rPr>
        <w:t xml:space="preserve">The cross-country pattern </w:t>
      </w:r>
      <w:r w:rsidR="007B6C81">
        <w:rPr>
          <w:rFonts w:cs="Times New Roman"/>
          <w:szCs w:val="24"/>
        </w:rPr>
        <w:t>is displayed in Figures 2 and 3, where the former gives the overview, and the latter comes with more detail. T</w:t>
      </w:r>
      <w:r w:rsidRPr="00CC3E19">
        <w:rPr>
          <w:rFonts w:cs="Times New Roman"/>
          <w:szCs w:val="24"/>
        </w:rPr>
        <w:t xml:space="preserve">he estimates </w:t>
      </w:r>
      <w:r w:rsidR="007B6C81">
        <w:rPr>
          <w:rFonts w:cs="Times New Roman"/>
          <w:szCs w:val="24"/>
        </w:rPr>
        <w:t xml:space="preserve">in Figure 2 </w:t>
      </w:r>
      <w:r w:rsidRPr="00CC3E19">
        <w:rPr>
          <w:rFonts w:cs="Times New Roman"/>
          <w:szCs w:val="24"/>
        </w:rPr>
        <w:t xml:space="preserve">are calculated like those in Figure 1, except now based on observations after 2000 (reported in Table A4 in the online appendix). </w:t>
      </w:r>
      <w:r w:rsidR="00305F07">
        <w:rPr>
          <w:rFonts w:cs="Times New Roman"/>
          <w:szCs w:val="24"/>
        </w:rPr>
        <w:t xml:space="preserve">Hence, the </w:t>
      </w:r>
      <w:r w:rsidR="007B6C81">
        <w:rPr>
          <w:rFonts w:cs="Times New Roman"/>
          <w:szCs w:val="24"/>
        </w:rPr>
        <w:t>black markers give</w:t>
      </w:r>
      <w:r w:rsidR="00305F07">
        <w:rPr>
          <w:rFonts w:cs="Times New Roman"/>
          <w:szCs w:val="24"/>
        </w:rPr>
        <w:t xml:space="preserve"> the average issue</w:t>
      </w:r>
      <w:r w:rsidR="007B6C81">
        <w:rPr>
          <w:rFonts w:cs="Times New Roman"/>
          <w:szCs w:val="24"/>
        </w:rPr>
        <w:t xml:space="preserve"> ownership across the countries</w:t>
      </w:r>
      <w:r w:rsidR="00305F07">
        <w:rPr>
          <w:rFonts w:cs="Times New Roman"/>
          <w:szCs w:val="24"/>
        </w:rPr>
        <w:t xml:space="preserve"> and the confidence interval</w:t>
      </w:r>
      <w:r w:rsidR="00ED36A1">
        <w:rPr>
          <w:rFonts w:cs="Times New Roman"/>
          <w:szCs w:val="24"/>
        </w:rPr>
        <w:t>s</w:t>
      </w:r>
      <w:r w:rsidR="00305F07">
        <w:rPr>
          <w:rFonts w:cs="Times New Roman"/>
          <w:szCs w:val="24"/>
        </w:rPr>
        <w:t xml:space="preserve"> </w:t>
      </w:r>
      <w:r w:rsidR="00BC2F88">
        <w:rPr>
          <w:rFonts w:cs="Times New Roman"/>
          <w:szCs w:val="24"/>
        </w:rPr>
        <w:t xml:space="preserve">indicated by </w:t>
      </w:r>
      <w:r w:rsidR="00305F07">
        <w:rPr>
          <w:rFonts w:cs="Times New Roman"/>
          <w:szCs w:val="24"/>
        </w:rPr>
        <w:t xml:space="preserve">the horizontal </w:t>
      </w:r>
      <w:r w:rsidR="00ED36A1">
        <w:rPr>
          <w:rFonts w:cs="Times New Roman"/>
          <w:szCs w:val="24"/>
        </w:rPr>
        <w:t>lines indicate</w:t>
      </w:r>
      <w:r w:rsidR="00305F07">
        <w:rPr>
          <w:rFonts w:cs="Times New Roman"/>
          <w:szCs w:val="24"/>
        </w:rPr>
        <w:t xml:space="preserve"> the variation in issue ownership across the countries. </w:t>
      </w:r>
      <w:r w:rsidRPr="00CC3E19">
        <w:rPr>
          <w:rFonts w:cs="Times New Roman"/>
          <w:szCs w:val="24"/>
        </w:rPr>
        <w:t xml:space="preserve">Estimates from Figure 1 on the entire dataset are included as grey markers to accentuate changes. </w:t>
      </w:r>
      <w:r w:rsidR="00A922A0">
        <w:rPr>
          <w:rFonts w:cs="Times New Roman"/>
          <w:szCs w:val="24"/>
        </w:rPr>
        <w:t>Figure 3 provides with the many circles on the horizontal lines the average left-right issue ownership in the 2000s for each country across the issues</w:t>
      </w:r>
      <w:r w:rsidR="00E8070A">
        <w:rPr>
          <w:rFonts w:cs="Times New Roman"/>
          <w:szCs w:val="24"/>
        </w:rPr>
        <w:t xml:space="preserve"> </w:t>
      </w:r>
      <w:r w:rsidR="00E8070A" w:rsidRPr="00CC3E19">
        <w:rPr>
          <w:rFonts w:cs="Times New Roman"/>
          <w:szCs w:val="24"/>
        </w:rPr>
        <w:t>(</w:t>
      </w:r>
      <w:r w:rsidR="00E8070A">
        <w:rPr>
          <w:rFonts w:cs="Times New Roman"/>
          <w:szCs w:val="24"/>
        </w:rPr>
        <w:t xml:space="preserve">observations </w:t>
      </w:r>
      <w:r w:rsidR="00E8070A" w:rsidRPr="00CC3E19">
        <w:rPr>
          <w:rFonts w:cs="Times New Roman"/>
          <w:szCs w:val="24"/>
        </w:rPr>
        <w:t>reported in Table A</w:t>
      </w:r>
      <w:r w:rsidR="00E8070A">
        <w:rPr>
          <w:rFonts w:cs="Times New Roman"/>
          <w:szCs w:val="24"/>
        </w:rPr>
        <w:t>5</w:t>
      </w:r>
      <w:r w:rsidR="00E8070A" w:rsidRPr="00CC3E19">
        <w:rPr>
          <w:rFonts w:cs="Times New Roman"/>
          <w:szCs w:val="24"/>
        </w:rPr>
        <w:t xml:space="preserve"> in the online appendix)</w:t>
      </w:r>
      <w:r w:rsidR="00A922A0">
        <w:rPr>
          <w:rFonts w:cs="Times New Roman"/>
          <w:szCs w:val="24"/>
        </w:rPr>
        <w:t>.</w:t>
      </w:r>
    </w:p>
    <w:p w:rsidR="00E8070A" w:rsidRDefault="002F76B3" w:rsidP="00A922A0">
      <w:pPr>
        <w:ind w:firstLine="720"/>
        <w:rPr>
          <w:rFonts w:cs="Times New Roman"/>
          <w:szCs w:val="24"/>
        </w:rPr>
      </w:pPr>
      <w:r w:rsidRPr="00CC3E19">
        <w:rPr>
          <w:rFonts w:cs="Times New Roman"/>
          <w:szCs w:val="24"/>
        </w:rPr>
        <w:t xml:space="preserve">The comparison </w:t>
      </w:r>
      <w:r w:rsidR="00A922A0">
        <w:rPr>
          <w:rFonts w:cs="Times New Roman"/>
          <w:szCs w:val="24"/>
        </w:rPr>
        <w:t xml:space="preserve">in Figure 2 </w:t>
      </w:r>
      <w:r w:rsidRPr="00CC3E19">
        <w:rPr>
          <w:rFonts w:cs="Times New Roman"/>
          <w:szCs w:val="24"/>
        </w:rPr>
        <w:t>reveals that the estimates for the issues at the ends of the diagonal line – the environment, social security, economy, tax, the EU, law/order and asylum/immigration – move even further away from the vertical line</w:t>
      </w:r>
      <w:r w:rsidR="00305F07">
        <w:rPr>
          <w:rFonts w:cs="Times New Roman"/>
          <w:szCs w:val="24"/>
        </w:rPr>
        <w:t xml:space="preserve"> and the confidence intervals shortens in several instances</w:t>
      </w:r>
      <w:r w:rsidRPr="00CC3E19">
        <w:rPr>
          <w:rFonts w:cs="Times New Roman"/>
          <w:szCs w:val="24"/>
        </w:rPr>
        <w:t xml:space="preserve">. Narrowing the timeline to only the 2000s and concentrating on the cross-country variation suggests </w:t>
      </w:r>
      <w:r w:rsidR="008E66B8">
        <w:rPr>
          <w:rFonts w:cs="Times New Roman"/>
          <w:szCs w:val="24"/>
        </w:rPr>
        <w:t>similar</w:t>
      </w:r>
      <w:r w:rsidR="008E66B8" w:rsidRPr="00CC3E19">
        <w:rPr>
          <w:rFonts w:cs="Times New Roman"/>
          <w:szCs w:val="24"/>
        </w:rPr>
        <w:t xml:space="preserve"> </w:t>
      </w:r>
      <w:r w:rsidRPr="00CC3E19">
        <w:rPr>
          <w:rFonts w:cs="Times New Roman"/>
          <w:szCs w:val="24"/>
        </w:rPr>
        <w:t xml:space="preserve">issue ownership across countries for this cluster of issues. </w:t>
      </w:r>
      <w:r w:rsidR="00A922A0">
        <w:rPr>
          <w:rFonts w:cs="Times New Roman"/>
          <w:szCs w:val="24"/>
        </w:rPr>
        <w:t xml:space="preserve">This similarity is also evidence in Figure 3, where the country-estimates except for a very few exceptions fall consistently on the same side of the vertical zero-line. </w:t>
      </w:r>
    </w:p>
    <w:p w:rsidR="002F76B3" w:rsidRPr="00CC3E19" w:rsidRDefault="002F76B3" w:rsidP="00A922A0">
      <w:pPr>
        <w:ind w:firstLine="720"/>
        <w:rPr>
          <w:rFonts w:cs="Times New Roman"/>
          <w:szCs w:val="24"/>
        </w:rPr>
      </w:pPr>
      <w:r w:rsidRPr="00CC3E19">
        <w:rPr>
          <w:rFonts w:cs="Times New Roman"/>
          <w:szCs w:val="24"/>
        </w:rPr>
        <w:t xml:space="preserve">In contrast, the estimates for the remaining group of issues at the middle of the diagonal line </w:t>
      </w:r>
      <w:r w:rsidR="00E8070A">
        <w:rPr>
          <w:rFonts w:cs="Times New Roman"/>
          <w:szCs w:val="24"/>
        </w:rPr>
        <w:t xml:space="preserve">in Figure 2 </w:t>
      </w:r>
      <w:r w:rsidRPr="00CC3E19">
        <w:rPr>
          <w:rFonts w:cs="Times New Roman"/>
          <w:szCs w:val="24"/>
        </w:rPr>
        <w:t xml:space="preserve">moves closer to the vertical line, indicating </w:t>
      </w:r>
      <w:r w:rsidR="008E66B8">
        <w:rPr>
          <w:rFonts w:cs="Times New Roman"/>
          <w:szCs w:val="24"/>
        </w:rPr>
        <w:t>less similar</w:t>
      </w:r>
      <w:r w:rsidR="008E66B8" w:rsidRPr="00CC3E19">
        <w:rPr>
          <w:rFonts w:cs="Times New Roman"/>
          <w:szCs w:val="24"/>
        </w:rPr>
        <w:t xml:space="preserve"> </w:t>
      </w:r>
      <w:r w:rsidRPr="00CC3E19">
        <w:rPr>
          <w:rFonts w:cs="Times New Roman"/>
          <w:szCs w:val="24"/>
        </w:rPr>
        <w:t>issue ownership across countries. This is certainly true for unemployment, elderly care</w:t>
      </w:r>
      <w:r>
        <w:rPr>
          <w:rFonts w:cs="Times New Roman"/>
          <w:szCs w:val="24"/>
        </w:rPr>
        <w:t xml:space="preserve">, and education, </w:t>
      </w:r>
      <w:r w:rsidRPr="00CC3E19">
        <w:rPr>
          <w:rFonts w:cs="Times New Roman"/>
          <w:szCs w:val="24"/>
        </w:rPr>
        <w:t xml:space="preserve">but less so for health and </w:t>
      </w:r>
      <w:r>
        <w:rPr>
          <w:rFonts w:cs="Times New Roman"/>
          <w:szCs w:val="24"/>
        </w:rPr>
        <w:t>families</w:t>
      </w:r>
      <w:r w:rsidRPr="00CC3E19">
        <w:rPr>
          <w:rFonts w:cs="Times New Roman"/>
          <w:szCs w:val="24"/>
        </w:rPr>
        <w:t xml:space="preserve"> which keep clear water to the vertical line (for </w:t>
      </w:r>
      <w:r>
        <w:rPr>
          <w:rFonts w:cs="Times New Roman"/>
          <w:szCs w:val="24"/>
        </w:rPr>
        <w:t>families</w:t>
      </w:r>
      <w:r w:rsidRPr="00CC3E19">
        <w:rPr>
          <w:rFonts w:cs="Times New Roman"/>
          <w:szCs w:val="24"/>
        </w:rPr>
        <w:t xml:space="preserve"> at the 0.10 level of significance). Compared to previous findings, this </w:t>
      </w:r>
      <w:r>
        <w:rPr>
          <w:rFonts w:cs="Times New Roman"/>
          <w:szCs w:val="24"/>
        </w:rPr>
        <w:t>less</w:t>
      </w:r>
      <w:r w:rsidRPr="00CC3E19">
        <w:rPr>
          <w:rFonts w:cs="Times New Roman"/>
          <w:szCs w:val="24"/>
        </w:rPr>
        <w:t xml:space="preserve"> clear issue ownership to left-of-center parties on the</w:t>
      </w:r>
      <w:r>
        <w:rPr>
          <w:rFonts w:cs="Times New Roman"/>
          <w:szCs w:val="24"/>
        </w:rPr>
        <w:t xml:space="preserve"> three</w:t>
      </w:r>
      <w:r w:rsidRPr="00CC3E19">
        <w:rPr>
          <w:rFonts w:cs="Times New Roman"/>
          <w:szCs w:val="24"/>
        </w:rPr>
        <w:t xml:space="preserve"> issues </w:t>
      </w:r>
      <w:r>
        <w:rPr>
          <w:rFonts w:cs="Times New Roman"/>
          <w:szCs w:val="24"/>
        </w:rPr>
        <w:t xml:space="preserve">in the middle </w:t>
      </w:r>
      <w:r w:rsidRPr="00CC3E19">
        <w:rPr>
          <w:rFonts w:cs="Times New Roman"/>
          <w:szCs w:val="24"/>
        </w:rPr>
        <w:t>is surprising.</w:t>
      </w:r>
      <w:r>
        <w:rPr>
          <w:rFonts w:cs="Times New Roman"/>
          <w:szCs w:val="24"/>
        </w:rPr>
        <w:t xml:space="preserve"> </w:t>
      </w:r>
      <w:r w:rsidR="00E8070A">
        <w:rPr>
          <w:rFonts w:cs="Times New Roman"/>
          <w:szCs w:val="24"/>
        </w:rPr>
        <w:t xml:space="preserve">Figure 3 also documents this less uniform pattern with country-estimates more spread out and on both sides of the vertical zero-line, especially for </w:t>
      </w:r>
      <w:r w:rsidR="00E8070A" w:rsidRPr="00CC3E19">
        <w:rPr>
          <w:rFonts w:cs="Times New Roman"/>
          <w:szCs w:val="24"/>
        </w:rPr>
        <w:t>unemployment, elderly care</w:t>
      </w:r>
      <w:r w:rsidR="00E8070A">
        <w:rPr>
          <w:rFonts w:cs="Times New Roman"/>
          <w:szCs w:val="24"/>
        </w:rPr>
        <w:t>, and education.</w:t>
      </w:r>
    </w:p>
    <w:p w:rsidR="002F76B3" w:rsidRPr="00CC3E19" w:rsidRDefault="002F76B3" w:rsidP="00CC3E19">
      <w:pPr>
        <w:ind w:firstLine="720"/>
        <w:rPr>
          <w:rFonts w:cs="Times New Roman"/>
          <w:szCs w:val="24"/>
        </w:rPr>
      </w:pPr>
      <w:r w:rsidRPr="00CC3E19">
        <w:rPr>
          <w:rFonts w:cs="Times New Roman"/>
          <w:szCs w:val="24"/>
        </w:rPr>
        <w:t xml:space="preserve">Over all, nine out of twelve issues display </w:t>
      </w:r>
      <w:r w:rsidR="00E8070A">
        <w:rPr>
          <w:rFonts w:cs="Times New Roman"/>
          <w:szCs w:val="24"/>
        </w:rPr>
        <w:t xml:space="preserve">quite </w:t>
      </w:r>
      <w:r w:rsidR="008E66B8">
        <w:rPr>
          <w:rFonts w:cs="Times New Roman"/>
          <w:szCs w:val="24"/>
        </w:rPr>
        <w:t>similar</w:t>
      </w:r>
      <w:r w:rsidR="008E66B8" w:rsidRPr="00CC3E19">
        <w:rPr>
          <w:rFonts w:cs="Times New Roman"/>
          <w:szCs w:val="24"/>
        </w:rPr>
        <w:t xml:space="preserve"> </w:t>
      </w:r>
      <w:r w:rsidRPr="00CC3E19">
        <w:rPr>
          <w:rFonts w:cs="Times New Roman"/>
          <w:szCs w:val="24"/>
        </w:rPr>
        <w:t xml:space="preserve">issue ownership across countries in the 2000s. Most notable among the three issues diverging from this pattern, the issue ownership of unemployment is </w:t>
      </w:r>
      <w:r>
        <w:rPr>
          <w:rFonts w:cs="Times New Roman"/>
          <w:szCs w:val="24"/>
        </w:rPr>
        <w:t>highly</w:t>
      </w:r>
      <w:r w:rsidRPr="00CC3E19">
        <w:rPr>
          <w:rFonts w:cs="Times New Roman"/>
          <w:szCs w:val="24"/>
        </w:rPr>
        <w:t xml:space="preserve"> unclear in the cross-country analysis.</w:t>
      </w:r>
    </w:p>
    <w:p w:rsidR="002F76B3" w:rsidRPr="00CC3E19" w:rsidRDefault="002F76B3" w:rsidP="00CC3E19">
      <w:pPr>
        <w:jc w:val="center"/>
        <w:rPr>
          <w:rFonts w:cs="Times New Roman"/>
          <w:szCs w:val="24"/>
        </w:rPr>
      </w:pPr>
      <w:r w:rsidRPr="00CC3E19">
        <w:rPr>
          <w:rFonts w:cs="Times New Roman"/>
          <w:szCs w:val="24"/>
        </w:rPr>
        <w:t>[Figure</w:t>
      </w:r>
      <w:r w:rsidR="00E8070A">
        <w:rPr>
          <w:rFonts w:cs="Times New Roman"/>
          <w:szCs w:val="24"/>
        </w:rPr>
        <w:t>s</w:t>
      </w:r>
      <w:r w:rsidRPr="00CC3E19">
        <w:rPr>
          <w:rFonts w:cs="Times New Roman"/>
          <w:szCs w:val="24"/>
        </w:rPr>
        <w:t xml:space="preserve"> 2</w:t>
      </w:r>
      <w:r w:rsidR="00E8070A">
        <w:rPr>
          <w:rFonts w:cs="Times New Roman"/>
          <w:szCs w:val="24"/>
        </w:rPr>
        <w:t xml:space="preserve"> and 3</w:t>
      </w:r>
      <w:r w:rsidRPr="00CC3E19">
        <w:rPr>
          <w:rFonts w:cs="Times New Roman"/>
          <w:szCs w:val="24"/>
        </w:rPr>
        <w:t>]</w:t>
      </w:r>
    </w:p>
    <w:p w:rsidR="002F76B3" w:rsidRPr="00CC3E19" w:rsidRDefault="002F76B3" w:rsidP="00CC3E19">
      <w:pPr>
        <w:jc w:val="both"/>
        <w:rPr>
          <w:rFonts w:cs="Times New Roman"/>
          <w:b/>
          <w:szCs w:val="24"/>
        </w:rPr>
      </w:pPr>
      <w:r>
        <w:rPr>
          <w:rFonts w:cs="Times New Roman"/>
          <w:b/>
          <w:szCs w:val="24"/>
        </w:rPr>
        <w:t>Cross-t</w:t>
      </w:r>
      <w:r w:rsidRPr="00CC3E19">
        <w:rPr>
          <w:rFonts w:cs="Times New Roman"/>
          <w:b/>
          <w:szCs w:val="24"/>
        </w:rPr>
        <w:t xml:space="preserve">ime </w:t>
      </w:r>
      <w:r>
        <w:rPr>
          <w:rFonts w:cs="Times New Roman"/>
          <w:b/>
          <w:szCs w:val="24"/>
        </w:rPr>
        <w:t>p</w:t>
      </w:r>
      <w:r w:rsidRPr="00CC3E19">
        <w:rPr>
          <w:rFonts w:cs="Times New Roman"/>
          <w:b/>
          <w:szCs w:val="24"/>
        </w:rPr>
        <w:t>attern</w:t>
      </w:r>
    </w:p>
    <w:p w:rsidR="002F76B3" w:rsidRPr="00CC3E19" w:rsidRDefault="002F76B3" w:rsidP="00CC3E19">
      <w:pPr>
        <w:rPr>
          <w:rFonts w:cs="Times New Roman"/>
          <w:szCs w:val="24"/>
        </w:rPr>
      </w:pPr>
      <w:r w:rsidRPr="00CC3E19">
        <w:rPr>
          <w:rFonts w:cs="Times New Roman"/>
          <w:szCs w:val="24"/>
        </w:rPr>
        <w:t xml:space="preserve">The cross-time pattern is visible in Figure </w:t>
      </w:r>
      <w:r w:rsidR="00E8070A">
        <w:rPr>
          <w:rFonts w:cs="Times New Roman"/>
          <w:szCs w:val="24"/>
        </w:rPr>
        <w:t>4</w:t>
      </w:r>
      <w:r w:rsidRPr="00CC3E19">
        <w:rPr>
          <w:rFonts w:cs="Times New Roman"/>
          <w:szCs w:val="24"/>
        </w:rPr>
        <w:t>, which draws the marginal plots for each issue of a fixed effect regression with countries as panels (reported in Table A</w:t>
      </w:r>
      <w:r w:rsidR="00E8070A">
        <w:rPr>
          <w:rFonts w:cs="Times New Roman"/>
          <w:szCs w:val="24"/>
        </w:rPr>
        <w:t>6</w:t>
      </w:r>
      <w:r w:rsidRPr="00CC3E19">
        <w:rPr>
          <w:rFonts w:cs="Times New Roman"/>
          <w:szCs w:val="24"/>
        </w:rPr>
        <w:t xml:space="preserve"> in the online appendix). In the regression, the issue ownership is predicted by a simple linear count variable. If the count variable has a statistically significant effect on issue ownership, then issue ownership changes systematically over time across all countries. If a squared count variable indicated the best fit, this is reported. In Figure </w:t>
      </w:r>
      <w:r w:rsidR="00E8070A">
        <w:rPr>
          <w:rFonts w:cs="Times New Roman"/>
          <w:szCs w:val="24"/>
        </w:rPr>
        <w:t>4</w:t>
      </w:r>
      <w:r w:rsidRPr="00CC3E19">
        <w:rPr>
          <w:rFonts w:cs="Times New Roman"/>
          <w:szCs w:val="24"/>
        </w:rPr>
        <w:t xml:space="preserve">, the issue ownership is indicated on the x-axis, and the further the line is towards -100 (+100) on the left (right) of the figure, the more the issue is associated with a left-of-center (right-of-center) party. </w:t>
      </w:r>
    </w:p>
    <w:p w:rsidR="002F76B3" w:rsidRPr="00CC3E19" w:rsidRDefault="002F76B3" w:rsidP="00CC3E19">
      <w:pPr>
        <w:jc w:val="center"/>
        <w:rPr>
          <w:rFonts w:cs="Times New Roman"/>
          <w:szCs w:val="24"/>
        </w:rPr>
      </w:pPr>
      <w:r w:rsidRPr="00CC3E19">
        <w:rPr>
          <w:rFonts w:cs="Times New Roman"/>
          <w:szCs w:val="24"/>
        </w:rPr>
        <w:t xml:space="preserve">[Figure </w:t>
      </w:r>
      <w:r w:rsidR="00E8070A">
        <w:rPr>
          <w:rFonts w:cs="Times New Roman"/>
          <w:szCs w:val="24"/>
        </w:rPr>
        <w:t>4</w:t>
      </w:r>
      <w:r w:rsidRPr="00CC3E19">
        <w:rPr>
          <w:rFonts w:cs="Times New Roman"/>
          <w:szCs w:val="24"/>
        </w:rPr>
        <w:t>]</w:t>
      </w:r>
    </w:p>
    <w:p w:rsidR="002F76B3" w:rsidRPr="00CC3E19" w:rsidRDefault="002F76B3" w:rsidP="00CC3E19">
      <w:pPr>
        <w:rPr>
          <w:rFonts w:cs="Times New Roman"/>
          <w:szCs w:val="24"/>
        </w:rPr>
      </w:pPr>
      <w:r w:rsidRPr="00CC3E19">
        <w:rPr>
          <w:rFonts w:cs="Times New Roman"/>
          <w:szCs w:val="24"/>
        </w:rPr>
        <w:t xml:space="preserve">Large parts of the pattern from the cross-country analysis can be reproduced in the cross-time display in Figure </w:t>
      </w:r>
      <w:r w:rsidR="00E8070A">
        <w:rPr>
          <w:rFonts w:cs="Times New Roman"/>
          <w:szCs w:val="24"/>
        </w:rPr>
        <w:t>4</w:t>
      </w:r>
      <w:r w:rsidRPr="00CC3E19">
        <w:rPr>
          <w:rFonts w:cs="Times New Roman"/>
          <w:szCs w:val="24"/>
        </w:rPr>
        <w:t xml:space="preserve">. The issue ownerships most discernable across countries are also the most discernable across time. As should be expected from previous examination of issue ownership patterns, the marginal effect line is persistently to the right of the vertical zero-line for law and order, asylum and immigration, and the EU. Similarly, the environment is persistently to the left of the zero-line. Neither line is completely vertical, so the issue ownerships do move over time in most instances. The issue ownerships of the environment, the EU, and asylum/immigration have moved further away from the vertical line and hence grown stronger. The issue ownership of law and order first weakened during the 1990s hitting a low around 2001, but then became more solid again in the 2000s. However, the key point is that each line stays on one side of the zero-line, indicating overall stability across time. </w:t>
      </w:r>
    </w:p>
    <w:p w:rsidR="002F76B3" w:rsidRPr="00CC3E19" w:rsidRDefault="002F76B3" w:rsidP="00CC3E19">
      <w:pPr>
        <w:ind w:firstLine="567"/>
        <w:rPr>
          <w:rFonts w:cs="Times New Roman"/>
          <w:szCs w:val="24"/>
        </w:rPr>
      </w:pPr>
      <w:r>
        <w:rPr>
          <w:rFonts w:cs="Times New Roman"/>
          <w:szCs w:val="24"/>
        </w:rPr>
        <w:t>E</w:t>
      </w:r>
      <w:r w:rsidRPr="00CC3E19">
        <w:rPr>
          <w:rFonts w:cs="Times New Roman"/>
          <w:szCs w:val="24"/>
        </w:rPr>
        <w:t xml:space="preserve">ducation </w:t>
      </w:r>
      <w:r>
        <w:rPr>
          <w:rFonts w:cs="Times New Roman"/>
          <w:szCs w:val="24"/>
        </w:rPr>
        <w:t xml:space="preserve">and especially health </w:t>
      </w:r>
      <w:r w:rsidRPr="00CC3E19">
        <w:rPr>
          <w:rFonts w:cs="Times New Roman"/>
          <w:szCs w:val="24"/>
        </w:rPr>
        <w:t>appeared in Figures 1 and 2 to be generally associated with the left parties across countries, and this also seems to be the case across time in Figure 3. Both margins plots stay to the left of the zero-line, but both also remain in the vicinity of this zero-line with confidence intervals in parts of the interval only barely escaping the zero-line.</w:t>
      </w:r>
      <w:r>
        <w:rPr>
          <w:rFonts w:cs="Times New Roman"/>
          <w:szCs w:val="24"/>
        </w:rPr>
        <w:t xml:space="preserve"> This applies especially to education and could explain why its confidence interval in Figure 1 crosses the zero-line.</w:t>
      </w:r>
      <w:r w:rsidRPr="00CC3E19">
        <w:rPr>
          <w:rFonts w:cs="Times New Roman"/>
          <w:szCs w:val="24"/>
        </w:rPr>
        <w:t xml:space="preserve"> This </w:t>
      </w:r>
      <w:r>
        <w:rPr>
          <w:rFonts w:cs="Times New Roman"/>
          <w:szCs w:val="24"/>
        </w:rPr>
        <w:t xml:space="preserve">pattern </w:t>
      </w:r>
      <w:r w:rsidRPr="00CC3E19">
        <w:rPr>
          <w:rFonts w:cs="Times New Roman"/>
          <w:szCs w:val="24"/>
        </w:rPr>
        <w:t>also applies to social security, though a stronger issue ownership was indicated in Figures 1 and 2. With a marginal effect line becoming less discernible from the zero-line, and a confidence interval enclosing the zero-line towards the end of the interval, the somewhat uncertain issue ownership</w:t>
      </w:r>
      <w:r>
        <w:rPr>
          <w:rFonts w:cs="Times New Roman"/>
          <w:szCs w:val="24"/>
        </w:rPr>
        <w:t>s</w:t>
      </w:r>
      <w:r w:rsidRPr="00CC3E19">
        <w:rPr>
          <w:rFonts w:cs="Times New Roman"/>
          <w:szCs w:val="24"/>
        </w:rPr>
        <w:t xml:space="preserve"> on social security</w:t>
      </w:r>
      <w:r>
        <w:rPr>
          <w:rFonts w:cs="Times New Roman"/>
          <w:szCs w:val="24"/>
        </w:rPr>
        <w:t xml:space="preserve"> and education</w:t>
      </w:r>
      <w:r w:rsidRPr="00CC3E19">
        <w:rPr>
          <w:rFonts w:cs="Times New Roman"/>
          <w:szCs w:val="24"/>
        </w:rPr>
        <w:t xml:space="preserve"> appear to be a </w:t>
      </w:r>
      <w:r>
        <w:rPr>
          <w:rFonts w:cs="Times New Roman"/>
          <w:szCs w:val="24"/>
        </w:rPr>
        <w:t xml:space="preserve">more </w:t>
      </w:r>
      <w:r w:rsidRPr="00CC3E19">
        <w:rPr>
          <w:rFonts w:cs="Times New Roman"/>
          <w:szCs w:val="24"/>
        </w:rPr>
        <w:t xml:space="preserve">recent phenomenon. Historically, it looks to be associated with the left. Hence, for </w:t>
      </w:r>
      <w:r>
        <w:rPr>
          <w:rFonts w:cs="Times New Roman"/>
          <w:szCs w:val="24"/>
        </w:rPr>
        <w:t xml:space="preserve">this largest part of </w:t>
      </w:r>
      <w:r w:rsidRPr="00CC3E19">
        <w:rPr>
          <w:rFonts w:cs="Times New Roman"/>
          <w:szCs w:val="24"/>
        </w:rPr>
        <w:t>the issues, the issue ownership pattern corresponds to the results of previous studies.</w:t>
      </w:r>
    </w:p>
    <w:p w:rsidR="002F76B3" w:rsidRPr="00CC3E19" w:rsidRDefault="002F76B3" w:rsidP="00CC3E19">
      <w:pPr>
        <w:ind w:firstLine="567"/>
        <w:rPr>
          <w:rFonts w:cs="Times New Roman"/>
          <w:szCs w:val="24"/>
        </w:rPr>
      </w:pPr>
      <w:r w:rsidRPr="00CC3E19">
        <w:rPr>
          <w:rFonts w:cs="Times New Roman"/>
          <w:szCs w:val="24"/>
        </w:rPr>
        <w:t xml:space="preserve">Whereas tax and the economy were found to belong to right parties in the cross-country analysis, this is less clear across time. The tax issue is just to the right of the zero-line, and its confidence intervals do not escape it for the first part of the period, which indicates a rather unclear issue ownership across time. This is surprising given that existing work firmly associates the issue with right-of-center parties. Likewise, the economy moves from a rather clear right issue ownership to be almost a left issue ownership at the turn of the millennium and back again. Unlike the tax issue, the instability of the economy is expected from previous studies. In contrast to these issues, the issue ownership of unemployment, which looked ambiguous across countries in Figure 2, appears much clearer across time as should be expected based on previous studies. Early in the period it is more unclear, but then it moves firmly and persistently to the left. </w:t>
      </w:r>
    </w:p>
    <w:p w:rsidR="002F76B3" w:rsidRPr="00CC3E19" w:rsidRDefault="002F76B3" w:rsidP="00CC3E19">
      <w:pPr>
        <w:ind w:firstLine="567"/>
        <w:rPr>
          <w:rFonts w:cs="Times New Roman"/>
          <w:szCs w:val="24"/>
        </w:rPr>
      </w:pPr>
      <w:r>
        <w:rPr>
          <w:rFonts w:cs="Times New Roman"/>
          <w:szCs w:val="24"/>
        </w:rPr>
        <w:t xml:space="preserve">The issue ownerships for elderly care and families become less clear across time compared to the overall view in Figure 1 where these issues where associated with left-of-center parties. </w:t>
      </w:r>
      <w:r w:rsidRPr="00CC3E19">
        <w:rPr>
          <w:rFonts w:cs="Times New Roman"/>
          <w:szCs w:val="24"/>
        </w:rPr>
        <w:t>Only for these two issues does the marginal effect line move straight from one side to the other of the zero-line. This indicates a change in issue ownership. Elderly care moves from a very weak right issue ownership to a strong left issue ownership. The issue ownership of families moves opposite. As with the unclear cross-country pattern for these issues</w:t>
      </w:r>
      <w:r>
        <w:rPr>
          <w:rFonts w:cs="Times New Roman"/>
          <w:szCs w:val="24"/>
        </w:rPr>
        <w:t xml:space="preserve"> in Figure 2</w:t>
      </w:r>
      <w:r w:rsidRPr="00CC3E19">
        <w:rPr>
          <w:rFonts w:cs="Times New Roman"/>
          <w:szCs w:val="24"/>
        </w:rPr>
        <w:t xml:space="preserve">, we should be careful to conclude too much from this. It may reflect genuine changes, but it may also be an artifact of the low number of observations in the sample on these issues. </w:t>
      </w:r>
    </w:p>
    <w:p w:rsidR="002F76B3" w:rsidRPr="00CC3E19" w:rsidRDefault="002F76B3" w:rsidP="00CC3E19">
      <w:pPr>
        <w:ind w:firstLine="720"/>
        <w:rPr>
          <w:rFonts w:cs="Times New Roman"/>
          <w:szCs w:val="24"/>
        </w:rPr>
      </w:pPr>
      <w:r w:rsidRPr="00CC3E19">
        <w:rPr>
          <w:rFonts w:cs="Times New Roman"/>
          <w:szCs w:val="24"/>
        </w:rPr>
        <w:t>Based on these results, it can be concluded that issue ownership appears rather stable across time for a large majority of the twelve issues. The issues of law and order, asylum and immigration, the EU, and the environment are stable across countries and time. This also counts for health, education, unemployment, and social security, although these issues display some less solid issue ownership both across countries and across time. This pattern between issues and parties matches findings in previous work. The issue ownership</w:t>
      </w:r>
      <w:r>
        <w:rPr>
          <w:rFonts w:cs="Times New Roman"/>
          <w:szCs w:val="24"/>
        </w:rPr>
        <w:t>s</w:t>
      </w:r>
      <w:r w:rsidRPr="00CC3E19">
        <w:rPr>
          <w:rFonts w:cs="Times New Roman"/>
          <w:szCs w:val="24"/>
        </w:rPr>
        <w:t xml:space="preserve"> of elderly care and families appear rather unsettled across countries and across time. Tax and the economy were found to consistently belong to the right parties across countries in the 2000s, but a cross-time examination reveals less certainty. This matches results of prior studies </w:t>
      </w:r>
      <w:r>
        <w:rPr>
          <w:rFonts w:cs="Times New Roman"/>
          <w:szCs w:val="24"/>
        </w:rPr>
        <w:t>for</w:t>
      </w:r>
      <w:r w:rsidRPr="00CC3E19">
        <w:rPr>
          <w:rFonts w:cs="Times New Roman"/>
          <w:szCs w:val="24"/>
        </w:rPr>
        <w:t xml:space="preserve"> the economy, but not for the issues of tax, elderly care, and families. </w:t>
      </w:r>
    </w:p>
    <w:p w:rsidR="002F76B3" w:rsidRPr="00CC3E19" w:rsidRDefault="002F76B3" w:rsidP="00CC3E19">
      <w:pPr>
        <w:jc w:val="both"/>
        <w:rPr>
          <w:rFonts w:cs="Times New Roman"/>
          <w:szCs w:val="24"/>
        </w:rPr>
      </w:pPr>
    </w:p>
    <w:p w:rsidR="002F76B3" w:rsidRPr="00CC3E19" w:rsidRDefault="002F76B3" w:rsidP="00CC3E19">
      <w:pPr>
        <w:jc w:val="both"/>
        <w:rPr>
          <w:rFonts w:cs="Times New Roman"/>
          <w:b/>
          <w:szCs w:val="24"/>
        </w:rPr>
      </w:pPr>
      <w:r w:rsidRPr="00CC3E19">
        <w:rPr>
          <w:rFonts w:cs="Times New Roman"/>
          <w:b/>
          <w:szCs w:val="24"/>
        </w:rPr>
        <w:t>Robustness</w:t>
      </w:r>
    </w:p>
    <w:p w:rsidR="00E15C54" w:rsidRPr="00CC3E19" w:rsidRDefault="002F76B3" w:rsidP="00CC3E19">
      <w:pPr>
        <w:tabs>
          <w:tab w:val="left" w:pos="2127"/>
        </w:tabs>
        <w:rPr>
          <w:rFonts w:cs="Times New Roman"/>
          <w:szCs w:val="24"/>
        </w:rPr>
      </w:pPr>
      <w:r w:rsidRPr="00CC3E19">
        <w:rPr>
          <w:rFonts w:cs="Times New Roman"/>
          <w:szCs w:val="24"/>
        </w:rPr>
        <w:t>To test the robustness of these findings, each estimation reported in Figures 1</w:t>
      </w:r>
      <w:r w:rsidR="00E8070A">
        <w:rPr>
          <w:rFonts w:cs="Times New Roman"/>
          <w:szCs w:val="24"/>
        </w:rPr>
        <w:t>, 2, and 4</w:t>
      </w:r>
      <w:r w:rsidRPr="00CC3E19">
        <w:rPr>
          <w:rFonts w:cs="Times New Roman"/>
          <w:szCs w:val="24"/>
        </w:rPr>
        <w:t xml:space="preserve"> has been replicated with one country excluded at a time (this jackknife analysis is reported in Tables A3</w:t>
      </w:r>
      <w:r w:rsidR="00E8070A">
        <w:rPr>
          <w:rFonts w:cs="Times New Roman"/>
          <w:szCs w:val="24"/>
        </w:rPr>
        <w:t xml:space="preserve">, A4, and </w:t>
      </w:r>
      <w:r w:rsidRPr="00CC3E19">
        <w:rPr>
          <w:rFonts w:cs="Times New Roman"/>
          <w:szCs w:val="24"/>
        </w:rPr>
        <w:t>A</w:t>
      </w:r>
      <w:r w:rsidR="00E8070A">
        <w:rPr>
          <w:rFonts w:cs="Times New Roman"/>
          <w:szCs w:val="24"/>
        </w:rPr>
        <w:t>6</w:t>
      </w:r>
      <w:r w:rsidRPr="00CC3E19">
        <w:rPr>
          <w:rFonts w:cs="Times New Roman"/>
          <w:szCs w:val="24"/>
        </w:rPr>
        <w:t xml:space="preserve"> in the online appendix). The replications show that the overall findings do not change in any important ways. That is, the timelines or the cross-country lines stay on the identified side of the vertical zero-line in most instances. In some cases, the significance level comes closer to 0.2 than 0.05, like unemployment across time and countries, the EU, social security, and education over time, as well as health in the general cross-time cross-country analysis. However, each estimate stays on the identified side of the vertical line, and the inevitable drop in observations in these cases with excluded countries therefore suggests that it probably has to do with the weakened statistical power of the estimation more than a genuinely unclear issue ownership.</w:t>
      </w:r>
      <w:r w:rsidRPr="00CC3E19">
        <w:rPr>
          <w:rStyle w:val="Slutnotehenvisning"/>
          <w:rFonts w:cs="Times New Roman"/>
          <w:szCs w:val="24"/>
        </w:rPr>
        <w:endnoteReference w:id="13"/>
      </w:r>
      <w:r w:rsidRPr="00CC3E19">
        <w:rPr>
          <w:rFonts w:cs="Times New Roman"/>
          <w:szCs w:val="24"/>
        </w:rPr>
        <w:t xml:space="preserve"> </w:t>
      </w:r>
    </w:p>
    <w:p w:rsidR="00B90B84" w:rsidRPr="00CC3E19" w:rsidRDefault="00E15C54" w:rsidP="00CC3E19">
      <w:pPr>
        <w:ind w:firstLine="720"/>
        <w:rPr>
          <w:rFonts w:cs="Times New Roman"/>
          <w:szCs w:val="24"/>
        </w:rPr>
      </w:pPr>
      <w:r w:rsidRPr="00CC3E19">
        <w:rPr>
          <w:rFonts w:cs="Times New Roman"/>
          <w:szCs w:val="24"/>
        </w:rPr>
        <w:t>The issue ownership of education loses its statistical significance entirely in one instance in the cross-country analysis</w:t>
      </w:r>
      <w:r w:rsidR="00F64BB3">
        <w:rPr>
          <w:rFonts w:cs="Times New Roman"/>
          <w:szCs w:val="24"/>
        </w:rPr>
        <w:t xml:space="preserve"> when Australia is excluded from the cross-country analysis</w:t>
      </w:r>
      <w:r w:rsidRPr="00CC3E19">
        <w:rPr>
          <w:rFonts w:cs="Times New Roman"/>
          <w:szCs w:val="24"/>
        </w:rPr>
        <w:t xml:space="preserve">. </w:t>
      </w:r>
      <w:r w:rsidR="00A62501" w:rsidRPr="00CC3E19">
        <w:rPr>
          <w:rFonts w:cs="Times New Roman"/>
          <w:szCs w:val="24"/>
        </w:rPr>
        <w:t xml:space="preserve">Similarly, the weak issue ownership </w:t>
      </w:r>
      <w:r w:rsidR="00F64BB3">
        <w:rPr>
          <w:rFonts w:cs="Times New Roman"/>
          <w:szCs w:val="24"/>
        </w:rPr>
        <w:t>of</w:t>
      </w:r>
      <w:r w:rsidR="00A62501" w:rsidRPr="00CC3E19">
        <w:rPr>
          <w:rFonts w:cs="Times New Roman"/>
          <w:szCs w:val="24"/>
        </w:rPr>
        <w:t xml:space="preserve"> unemployment </w:t>
      </w:r>
      <w:r w:rsidR="00B90B84" w:rsidRPr="00CC3E19">
        <w:rPr>
          <w:rFonts w:cs="Times New Roman"/>
          <w:szCs w:val="24"/>
        </w:rPr>
        <w:t xml:space="preserve">in the </w:t>
      </w:r>
      <w:r w:rsidR="00A62501" w:rsidRPr="00CC3E19">
        <w:rPr>
          <w:rFonts w:cs="Times New Roman"/>
          <w:szCs w:val="24"/>
        </w:rPr>
        <w:t>cross</w:t>
      </w:r>
      <w:r w:rsidR="00B90B84" w:rsidRPr="00CC3E19">
        <w:rPr>
          <w:rFonts w:cs="Times New Roman"/>
          <w:szCs w:val="24"/>
        </w:rPr>
        <w:t>-country analysis</w:t>
      </w:r>
      <w:r w:rsidR="00A62501" w:rsidRPr="00CC3E19">
        <w:rPr>
          <w:rFonts w:cs="Times New Roman"/>
          <w:szCs w:val="24"/>
        </w:rPr>
        <w:t xml:space="preserve"> is reflected in the robustness check, where elimination of countries sends the estimate in </w:t>
      </w:r>
      <w:r w:rsidR="00B0399C" w:rsidRPr="00CC3E19">
        <w:rPr>
          <w:rFonts w:cs="Times New Roman"/>
          <w:szCs w:val="24"/>
        </w:rPr>
        <w:t xml:space="preserve">both </w:t>
      </w:r>
      <w:r w:rsidR="00A62501" w:rsidRPr="00CC3E19">
        <w:rPr>
          <w:rFonts w:cs="Times New Roman"/>
          <w:szCs w:val="24"/>
        </w:rPr>
        <w:t xml:space="preserve">a positive and </w:t>
      </w:r>
      <w:r w:rsidR="00AA35D5" w:rsidRPr="00CC3E19">
        <w:rPr>
          <w:rFonts w:cs="Times New Roman"/>
          <w:szCs w:val="24"/>
        </w:rPr>
        <w:t xml:space="preserve">a </w:t>
      </w:r>
      <w:r w:rsidR="00A62501" w:rsidRPr="00CC3E19">
        <w:rPr>
          <w:rFonts w:cs="Times New Roman"/>
          <w:szCs w:val="24"/>
        </w:rPr>
        <w:t xml:space="preserve">negative direction. </w:t>
      </w:r>
      <w:r w:rsidRPr="00CC3E19">
        <w:rPr>
          <w:rFonts w:cs="Times New Roman"/>
          <w:szCs w:val="24"/>
        </w:rPr>
        <w:t>Finally, t</w:t>
      </w:r>
      <w:r w:rsidR="0094187C" w:rsidRPr="00CC3E19">
        <w:rPr>
          <w:rFonts w:cs="Times New Roman"/>
          <w:szCs w:val="24"/>
        </w:rPr>
        <w:t>he robustness check confirm</w:t>
      </w:r>
      <w:r w:rsidR="00611BF3" w:rsidRPr="00CC3E19">
        <w:rPr>
          <w:rFonts w:cs="Times New Roman"/>
          <w:szCs w:val="24"/>
        </w:rPr>
        <w:t>s</w:t>
      </w:r>
      <w:r w:rsidR="0094187C" w:rsidRPr="00CC3E19">
        <w:rPr>
          <w:rFonts w:cs="Times New Roman"/>
          <w:szCs w:val="24"/>
        </w:rPr>
        <w:t xml:space="preserve"> the lack of clari</w:t>
      </w:r>
      <w:r w:rsidR="00B16860" w:rsidRPr="00CC3E19">
        <w:rPr>
          <w:rFonts w:cs="Times New Roman"/>
          <w:szCs w:val="24"/>
        </w:rPr>
        <w:t>t</w:t>
      </w:r>
      <w:r w:rsidR="0094187C" w:rsidRPr="00CC3E19">
        <w:rPr>
          <w:rFonts w:cs="Times New Roman"/>
          <w:szCs w:val="24"/>
        </w:rPr>
        <w:t xml:space="preserve">y </w:t>
      </w:r>
      <w:r w:rsidR="00A11E52">
        <w:rPr>
          <w:rFonts w:cs="Times New Roman"/>
          <w:szCs w:val="24"/>
        </w:rPr>
        <w:t>especially</w:t>
      </w:r>
      <w:r w:rsidRPr="00CC3E19">
        <w:rPr>
          <w:rFonts w:cs="Times New Roman"/>
          <w:szCs w:val="24"/>
        </w:rPr>
        <w:t xml:space="preserve"> </w:t>
      </w:r>
      <w:r w:rsidR="00A11E52">
        <w:rPr>
          <w:rFonts w:cs="Times New Roman"/>
          <w:szCs w:val="24"/>
        </w:rPr>
        <w:t xml:space="preserve">across </w:t>
      </w:r>
      <w:r w:rsidRPr="00CC3E19">
        <w:rPr>
          <w:rFonts w:cs="Times New Roman"/>
          <w:szCs w:val="24"/>
        </w:rPr>
        <w:t xml:space="preserve">countries </w:t>
      </w:r>
      <w:r w:rsidR="0094187C" w:rsidRPr="00CC3E19">
        <w:rPr>
          <w:rFonts w:cs="Times New Roman"/>
          <w:szCs w:val="24"/>
        </w:rPr>
        <w:t>on the issues of families and elderly care where</w:t>
      </w:r>
      <w:r w:rsidR="00611BF3" w:rsidRPr="00CC3E19">
        <w:rPr>
          <w:rFonts w:cs="Times New Roman"/>
          <w:szCs w:val="24"/>
        </w:rPr>
        <w:t xml:space="preserve"> estimates </w:t>
      </w:r>
      <w:r w:rsidR="00A11E52">
        <w:rPr>
          <w:rFonts w:cs="Times New Roman"/>
          <w:szCs w:val="24"/>
        </w:rPr>
        <w:t xml:space="preserve">especially for elderly care </w:t>
      </w:r>
      <w:r w:rsidR="00611BF3" w:rsidRPr="00CC3E19">
        <w:rPr>
          <w:rFonts w:cs="Times New Roman"/>
          <w:szCs w:val="24"/>
        </w:rPr>
        <w:t>switch from negative to positive</w:t>
      </w:r>
      <w:r w:rsidR="0094187C" w:rsidRPr="00CC3E19">
        <w:rPr>
          <w:rFonts w:cs="Times New Roman"/>
          <w:szCs w:val="24"/>
        </w:rPr>
        <w:t xml:space="preserve">. </w:t>
      </w:r>
      <w:r w:rsidR="00AA35D5" w:rsidRPr="00CC3E19">
        <w:rPr>
          <w:rFonts w:cs="Times New Roman"/>
          <w:szCs w:val="24"/>
        </w:rPr>
        <w:t>T</w:t>
      </w:r>
      <w:r w:rsidR="0094187C" w:rsidRPr="00CC3E19">
        <w:rPr>
          <w:rFonts w:cs="Times New Roman"/>
          <w:szCs w:val="24"/>
        </w:rPr>
        <w:t xml:space="preserve">hese are among the issues with the smallest number of countries for analysis, </w:t>
      </w:r>
      <w:r w:rsidR="00AA35D5" w:rsidRPr="00CC3E19">
        <w:rPr>
          <w:rFonts w:cs="Times New Roman"/>
          <w:szCs w:val="24"/>
        </w:rPr>
        <w:t xml:space="preserve">which </w:t>
      </w:r>
      <w:r w:rsidR="0094187C" w:rsidRPr="00CC3E19">
        <w:rPr>
          <w:rFonts w:cs="Times New Roman"/>
          <w:szCs w:val="24"/>
        </w:rPr>
        <w:t xml:space="preserve">may explain a large part of this </w:t>
      </w:r>
      <w:r w:rsidR="00611BF3" w:rsidRPr="00CC3E19">
        <w:rPr>
          <w:rFonts w:cs="Times New Roman"/>
          <w:szCs w:val="24"/>
        </w:rPr>
        <w:t>lack of clarity across time and countries.</w:t>
      </w:r>
      <w:r w:rsidR="00662AE2" w:rsidRPr="00CC3E19">
        <w:rPr>
          <w:rFonts w:cs="Times New Roman"/>
          <w:szCs w:val="24"/>
        </w:rPr>
        <w:t xml:space="preserve"> </w:t>
      </w:r>
    </w:p>
    <w:p w:rsidR="00DE3BF0" w:rsidRPr="00CC3E19" w:rsidRDefault="00662AE2" w:rsidP="00CC3E19">
      <w:pPr>
        <w:ind w:firstLine="720"/>
        <w:rPr>
          <w:rFonts w:cs="Times New Roman"/>
          <w:szCs w:val="24"/>
        </w:rPr>
      </w:pPr>
      <w:r w:rsidRPr="00CC3E19">
        <w:rPr>
          <w:rFonts w:cs="Times New Roman"/>
          <w:szCs w:val="24"/>
        </w:rPr>
        <w:t xml:space="preserve">Summing up, the robustness check </w:t>
      </w:r>
      <w:r w:rsidR="00B90B84" w:rsidRPr="00CC3E19">
        <w:rPr>
          <w:rFonts w:cs="Times New Roman"/>
          <w:szCs w:val="24"/>
        </w:rPr>
        <w:t xml:space="preserve">to a large degree </w:t>
      </w:r>
      <w:r w:rsidRPr="00CC3E19">
        <w:rPr>
          <w:rFonts w:cs="Times New Roman"/>
          <w:szCs w:val="24"/>
        </w:rPr>
        <w:t>reaffirms the information from the main analysis that a majority of issues display</w:t>
      </w:r>
      <w:r w:rsidR="00E57335" w:rsidRPr="00CC3E19">
        <w:rPr>
          <w:rFonts w:cs="Times New Roman"/>
          <w:szCs w:val="24"/>
        </w:rPr>
        <w:t>s</w:t>
      </w:r>
      <w:r w:rsidRPr="00CC3E19">
        <w:rPr>
          <w:rFonts w:cs="Times New Roman"/>
          <w:szCs w:val="24"/>
        </w:rPr>
        <w:t xml:space="preserve"> clear issue ownership across countries and time, and a minority of issues, especially elderly care and families, appear</w:t>
      </w:r>
      <w:r w:rsidR="00D06D2A" w:rsidRPr="00CC3E19">
        <w:rPr>
          <w:rFonts w:cs="Times New Roman"/>
          <w:szCs w:val="24"/>
        </w:rPr>
        <w:t>s</w:t>
      </w:r>
      <w:r w:rsidRPr="00CC3E19">
        <w:rPr>
          <w:rFonts w:cs="Times New Roman"/>
          <w:szCs w:val="24"/>
        </w:rPr>
        <w:t xml:space="preserve"> to have unclear issue ownership.</w:t>
      </w:r>
    </w:p>
    <w:p w:rsidR="005A1651" w:rsidRPr="00CC3E19" w:rsidRDefault="005A1651" w:rsidP="00CC3E19">
      <w:pPr>
        <w:rPr>
          <w:rFonts w:cs="Times New Roman"/>
          <w:szCs w:val="24"/>
        </w:rPr>
      </w:pPr>
    </w:p>
    <w:p w:rsidR="005A1651" w:rsidRPr="00CC3E19" w:rsidRDefault="00FE566B" w:rsidP="00CC3E19">
      <w:pPr>
        <w:jc w:val="both"/>
        <w:rPr>
          <w:rFonts w:cs="Times New Roman"/>
          <w:szCs w:val="24"/>
        </w:rPr>
      </w:pPr>
      <w:r w:rsidRPr="00CC3E19">
        <w:rPr>
          <w:rFonts w:cs="Times New Roman"/>
          <w:b/>
          <w:szCs w:val="24"/>
        </w:rPr>
        <w:t>Implications</w:t>
      </w:r>
    </w:p>
    <w:p w:rsidR="00E62DBD" w:rsidRPr="00CC3E19" w:rsidRDefault="00E62DBD" w:rsidP="00CC3E19">
      <w:pPr>
        <w:rPr>
          <w:rFonts w:cs="Times New Roman"/>
          <w:szCs w:val="24"/>
        </w:rPr>
      </w:pPr>
      <w:r w:rsidRPr="00CC3E19">
        <w:rPr>
          <w:rFonts w:cs="Times New Roman"/>
          <w:szCs w:val="24"/>
        </w:rPr>
        <w:t>Based on a</w:t>
      </w:r>
      <w:r w:rsidR="00986A50" w:rsidRPr="00CC3E19">
        <w:rPr>
          <w:rFonts w:cs="Times New Roman"/>
          <w:szCs w:val="24"/>
        </w:rPr>
        <w:t>n</w:t>
      </w:r>
      <w:r w:rsidRPr="00CC3E19">
        <w:rPr>
          <w:rFonts w:cs="Times New Roman"/>
          <w:szCs w:val="24"/>
        </w:rPr>
        <w:t xml:space="preserve"> </w:t>
      </w:r>
      <w:r w:rsidR="00986A50" w:rsidRPr="00CC3E19">
        <w:rPr>
          <w:rFonts w:cs="Times New Roman"/>
          <w:szCs w:val="24"/>
        </w:rPr>
        <w:t>unprecedented, comprehensive</w:t>
      </w:r>
      <w:r w:rsidRPr="00CC3E19">
        <w:rPr>
          <w:rFonts w:cs="Times New Roman"/>
          <w:szCs w:val="24"/>
        </w:rPr>
        <w:t xml:space="preserve"> dataset </w:t>
      </w:r>
      <w:r w:rsidR="00332EFE">
        <w:rPr>
          <w:rFonts w:cs="Times New Roman"/>
          <w:szCs w:val="24"/>
        </w:rPr>
        <w:t xml:space="preserve">from 136 national election studies </w:t>
      </w:r>
      <w:r w:rsidR="008E66B8">
        <w:rPr>
          <w:rFonts w:cs="Times New Roman"/>
          <w:szCs w:val="24"/>
        </w:rPr>
        <w:t xml:space="preserve">collecting available information on </w:t>
      </w:r>
      <w:r w:rsidRPr="00CC3E19">
        <w:rPr>
          <w:rFonts w:cs="Times New Roman"/>
          <w:szCs w:val="24"/>
        </w:rPr>
        <w:t xml:space="preserve">issue ownerships for </w:t>
      </w:r>
      <w:r w:rsidR="00C91891" w:rsidRPr="00CC3E19">
        <w:rPr>
          <w:rFonts w:cs="Times New Roman"/>
          <w:szCs w:val="24"/>
        </w:rPr>
        <w:t xml:space="preserve">12 </w:t>
      </w:r>
      <w:r w:rsidRPr="00CC3E19">
        <w:rPr>
          <w:rFonts w:cs="Times New Roman"/>
          <w:szCs w:val="24"/>
        </w:rPr>
        <w:t xml:space="preserve">issues across </w:t>
      </w:r>
      <w:r w:rsidR="00C91891" w:rsidRPr="00CC3E19">
        <w:rPr>
          <w:rFonts w:cs="Times New Roman"/>
          <w:szCs w:val="24"/>
        </w:rPr>
        <w:t xml:space="preserve">17 </w:t>
      </w:r>
      <w:r w:rsidRPr="00CC3E19">
        <w:rPr>
          <w:rFonts w:cs="Times New Roman"/>
          <w:szCs w:val="24"/>
        </w:rPr>
        <w:t xml:space="preserve">countries </w:t>
      </w:r>
      <w:r w:rsidR="00567934" w:rsidRPr="00CC3E19">
        <w:rPr>
          <w:rFonts w:cs="Times New Roman"/>
          <w:szCs w:val="24"/>
        </w:rPr>
        <w:t xml:space="preserve">over </w:t>
      </w:r>
      <w:r w:rsidR="00332EFE">
        <w:rPr>
          <w:rFonts w:cs="Times New Roman"/>
          <w:szCs w:val="24"/>
        </w:rPr>
        <w:t>three</w:t>
      </w:r>
      <w:r w:rsidRPr="00CC3E19">
        <w:rPr>
          <w:rFonts w:cs="Times New Roman"/>
          <w:szCs w:val="24"/>
        </w:rPr>
        <w:t xml:space="preserve"> decades, this study </w:t>
      </w:r>
      <w:r w:rsidR="00986A50" w:rsidRPr="00CC3E19">
        <w:rPr>
          <w:rFonts w:cs="Times New Roman"/>
          <w:szCs w:val="24"/>
        </w:rPr>
        <w:t xml:space="preserve">attempts to address </w:t>
      </w:r>
      <w:r w:rsidRPr="00CC3E19">
        <w:rPr>
          <w:rFonts w:cs="Times New Roman"/>
          <w:szCs w:val="24"/>
        </w:rPr>
        <w:t xml:space="preserve">a major </w:t>
      </w:r>
      <w:r w:rsidR="00986A50" w:rsidRPr="00CC3E19">
        <w:rPr>
          <w:rFonts w:cs="Times New Roman"/>
          <w:szCs w:val="24"/>
        </w:rPr>
        <w:t xml:space="preserve">unresolved </w:t>
      </w:r>
      <w:r w:rsidRPr="00CC3E19">
        <w:rPr>
          <w:rFonts w:cs="Times New Roman"/>
          <w:szCs w:val="24"/>
        </w:rPr>
        <w:t>aspect of issue ownership, namely its stability</w:t>
      </w:r>
      <w:r w:rsidR="00B4769B" w:rsidRPr="00CC3E19">
        <w:rPr>
          <w:rFonts w:cs="Times New Roman"/>
          <w:szCs w:val="24"/>
        </w:rPr>
        <w:t xml:space="preserve"> </w:t>
      </w:r>
      <w:r w:rsidRPr="00CC3E19">
        <w:rPr>
          <w:rFonts w:cs="Times New Roman"/>
          <w:szCs w:val="24"/>
        </w:rPr>
        <w:t xml:space="preserve">across time and </w:t>
      </w:r>
      <w:r w:rsidR="008E66B8">
        <w:rPr>
          <w:rFonts w:cs="Times New Roman"/>
          <w:szCs w:val="24"/>
        </w:rPr>
        <w:t xml:space="preserve">similarity across </w:t>
      </w:r>
      <w:r w:rsidRPr="00CC3E19">
        <w:rPr>
          <w:rFonts w:cs="Times New Roman"/>
          <w:szCs w:val="24"/>
        </w:rPr>
        <w:t xml:space="preserve">countries. </w:t>
      </w:r>
      <w:r w:rsidR="00C91891" w:rsidRPr="00CC3E19">
        <w:rPr>
          <w:rFonts w:cs="Times New Roman"/>
          <w:szCs w:val="24"/>
        </w:rPr>
        <w:t xml:space="preserve">A previous </w:t>
      </w:r>
      <w:r w:rsidR="00456435" w:rsidRPr="00CC3E19">
        <w:rPr>
          <w:rFonts w:cs="Times New Roman"/>
          <w:szCs w:val="24"/>
        </w:rPr>
        <w:t xml:space="preserve">lack of </w:t>
      </w:r>
      <w:r w:rsidR="00C91891" w:rsidRPr="00CC3E19">
        <w:rPr>
          <w:rFonts w:cs="Times New Roman"/>
          <w:szCs w:val="24"/>
        </w:rPr>
        <w:t xml:space="preserve">such evidence has </w:t>
      </w:r>
      <w:r w:rsidR="00BE3A7B" w:rsidRPr="00CC3E19">
        <w:rPr>
          <w:rFonts w:cs="Times New Roman"/>
          <w:szCs w:val="24"/>
        </w:rPr>
        <w:t>cause</w:t>
      </w:r>
      <w:r w:rsidR="00C91891" w:rsidRPr="00CC3E19">
        <w:rPr>
          <w:rFonts w:cs="Times New Roman"/>
          <w:szCs w:val="24"/>
        </w:rPr>
        <w:t xml:space="preserve">d </w:t>
      </w:r>
      <w:r w:rsidR="00E20473" w:rsidRPr="00CC3E19">
        <w:rPr>
          <w:rFonts w:cs="Times New Roman"/>
          <w:szCs w:val="24"/>
        </w:rPr>
        <w:t xml:space="preserve">an inconvenient </w:t>
      </w:r>
      <w:r w:rsidR="00BE3A7B" w:rsidRPr="00CC3E19">
        <w:rPr>
          <w:rFonts w:cs="Times New Roman"/>
          <w:szCs w:val="24"/>
        </w:rPr>
        <w:t xml:space="preserve">confusion in </w:t>
      </w:r>
      <w:r w:rsidR="00B4769B" w:rsidRPr="00CC3E19">
        <w:rPr>
          <w:rFonts w:cs="Times New Roman"/>
          <w:szCs w:val="24"/>
        </w:rPr>
        <w:t xml:space="preserve">the </w:t>
      </w:r>
      <w:r w:rsidR="00D73D84" w:rsidRPr="00CC3E19">
        <w:rPr>
          <w:rFonts w:cs="Times New Roman"/>
          <w:szCs w:val="24"/>
        </w:rPr>
        <w:t xml:space="preserve">use </w:t>
      </w:r>
      <w:r w:rsidR="00456435" w:rsidRPr="00CC3E19">
        <w:rPr>
          <w:rFonts w:cs="Times New Roman"/>
          <w:szCs w:val="24"/>
        </w:rPr>
        <w:t>of this central concept connecting voters and parties at the issue level</w:t>
      </w:r>
      <w:r w:rsidR="00EB183B" w:rsidRPr="00CC3E19">
        <w:rPr>
          <w:rFonts w:cs="Times New Roman"/>
          <w:szCs w:val="24"/>
        </w:rPr>
        <w:t>: I</w:t>
      </w:r>
      <w:r w:rsidR="00456435" w:rsidRPr="00CC3E19">
        <w:rPr>
          <w:rFonts w:cs="Times New Roman"/>
          <w:szCs w:val="24"/>
        </w:rPr>
        <w:t xml:space="preserve">ssue ownership </w:t>
      </w:r>
      <w:r w:rsidR="00EB183B" w:rsidRPr="00CC3E19">
        <w:rPr>
          <w:rFonts w:cs="Times New Roman"/>
          <w:szCs w:val="24"/>
        </w:rPr>
        <w:t xml:space="preserve">is </w:t>
      </w:r>
      <w:r w:rsidR="001C68EE" w:rsidRPr="00CC3E19">
        <w:rPr>
          <w:rFonts w:cs="Times New Roman"/>
          <w:szCs w:val="24"/>
        </w:rPr>
        <w:t>applied</w:t>
      </w:r>
      <w:r w:rsidR="00EB183B" w:rsidRPr="00CC3E19">
        <w:rPr>
          <w:rFonts w:cs="Times New Roman"/>
          <w:szCs w:val="24"/>
        </w:rPr>
        <w:t xml:space="preserve"> </w:t>
      </w:r>
      <w:r w:rsidR="00456435" w:rsidRPr="00CC3E19">
        <w:rPr>
          <w:rFonts w:cs="Times New Roman"/>
          <w:szCs w:val="24"/>
        </w:rPr>
        <w:t xml:space="preserve">as the “critical constant” </w:t>
      </w:r>
      <w:r w:rsidR="00DF6959" w:rsidRPr="00CC3E19">
        <w:rPr>
          <w:rFonts w:cs="Times New Roman"/>
          <w:szCs w:val="24"/>
        </w:rPr>
        <w:t>in voting and party behavior</w:t>
      </w:r>
      <w:r w:rsidR="001D3D9E" w:rsidRPr="00CC3E19">
        <w:rPr>
          <w:rFonts w:cs="Times New Roman"/>
          <w:szCs w:val="24"/>
        </w:rPr>
        <w:t xml:space="preserve">, but </w:t>
      </w:r>
      <w:r w:rsidR="006A15AC" w:rsidRPr="00CC3E19">
        <w:rPr>
          <w:rFonts w:cs="Times New Roman"/>
          <w:szCs w:val="24"/>
        </w:rPr>
        <w:t>research</w:t>
      </w:r>
      <w:r w:rsidR="00220168" w:rsidRPr="00CC3E19">
        <w:rPr>
          <w:rFonts w:cs="Times New Roman"/>
          <w:szCs w:val="24"/>
        </w:rPr>
        <w:t xml:space="preserve"> on issue ownership </w:t>
      </w:r>
      <w:r w:rsidR="00306337" w:rsidRPr="00CC3E19">
        <w:rPr>
          <w:rFonts w:cs="Times New Roman"/>
          <w:szCs w:val="24"/>
        </w:rPr>
        <w:t xml:space="preserve">meanwhile </w:t>
      </w:r>
      <w:r w:rsidR="00220168" w:rsidRPr="00CC3E19">
        <w:rPr>
          <w:rFonts w:cs="Times New Roman"/>
          <w:szCs w:val="24"/>
        </w:rPr>
        <w:t>center</w:t>
      </w:r>
      <w:r w:rsidR="00B0399C" w:rsidRPr="00CC3E19">
        <w:rPr>
          <w:rFonts w:cs="Times New Roman"/>
          <w:szCs w:val="24"/>
        </w:rPr>
        <w:t>s</w:t>
      </w:r>
      <w:r w:rsidR="00220168" w:rsidRPr="00CC3E19">
        <w:rPr>
          <w:rFonts w:cs="Times New Roman"/>
          <w:szCs w:val="24"/>
        </w:rPr>
        <w:t xml:space="preserve"> on its</w:t>
      </w:r>
      <w:r w:rsidR="006A15AC" w:rsidRPr="00CC3E19">
        <w:rPr>
          <w:rFonts w:cs="Times New Roman"/>
          <w:szCs w:val="24"/>
        </w:rPr>
        <w:t xml:space="preserve"> instability</w:t>
      </w:r>
      <w:r w:rsidR="00220168" w:rsidRPr="00CC3E19">
        <w:rPr>
          <w:rFonts w:cs="Times New Roman"/>
          <w:szCs w:val="24"/>
        </w:rPr>
        <w:t>.</w:t>
      </w:r>
      <w:r w:rsidR="006A15AC" w:rsidRPr="00CC3E19">
        <w:rPr>
          <w:rFonts w:cs="Times New Roman"/>
          <w:szCs w:val="24"/>
        </w:rPr>
        <w:t xml:space="preserve"> </w:t>
      </w:r>
      <w:r w:rsidR="00E20473" w:rsidRPr="00CC3E19">
        <w:rPr>
          <w:rFonts w:cs="Times New Roman"/>
          <w:szCs w:val="24"/>
        </w:rPr>
        <w:t xml:space="preserve">This ambiguity </w:t>
      </w:r>
      <w:r w:rsidR="00561C01" w:rsidRPr="00CC3E19">
        <w:rPr>
          <w:rFonts w:cs="Times New Roman"/>
          <w:szCs w:val="24"/>
        </w:rPr>
        <w:t>can</w:t>
      </w:r>
      <w:r w:rsidR="00E20473" w:rsidRPr="00CC3E19">
        <w:rPr>
          <w:rFonts w:cs="Times New Roman"/>
          <w:szCs w:val="24"/>
        </w:rPr>
        <w:t xml:space="preserve"> be traced back to the seminal work of Petrocik (1996), who introduce</w:t>
      </w:r>
      <w:r w:rsidR="00567934" w:rsidRPr="00CC3E19">
        <w:rPr>
          <w:rFonts w:cs="Times New Roman"/>
          <w:szCs w:val="24"/>
        </w:rPr>
        <w:t>d</w:t>
      </w:r>
      <w:r w:rsidR="00E20473" w:rsidRPr="00CC3E19">
        <w:rPr>
          <w:rFonts w:cs="Times New Roman"/>
          <w:szCs w:val="24"/>
        </w:rPr>
        <w:t xml:space="preserve"> </w:t>
      </w:r>
      <w:r w:rsidR="005B415F">
        <w:rPr>
          <w:rFonts w:cs="Times New Roman"/>
          <w:szCs w:val="24"/>
        </w:rPr>
        <w:t>a short-term and a long-term</w:t>
      </w:r>
      <w:r w:rsidR="00E20473" w:rsidRPr="00CC3E19">
        <w:rPr>
          <w:rFonts w:cs="Times New Roman"/>
          <w:szCs w:val="24"/>
        </w:rPr>
        <w:t xml:space="preserve"> version of issue ownership stressing b</w:t>
      </w:r>
      <w:r w:rsidR="00A213CA" w:rsidRPr="00CC3E19">
        <w:rPr>
          <w:rFonts w:cs="Times New Roman"/>
          <w:szCs w:val="24"/>
        </w:rPr>
        <w:t>oth</w:t>
      </w:r>
      <w:r w:rsidR="00E20473" w:rsidRPr="00CC3E19">
        <w:rPr>
          <w:rFonts w:cs="Times New Roman"/>
          <w:szCs w:val="24"/>
        </w:rPr>
        <w:t xml:space="preserve"> </w:t>
      </w:r>
      <w:r w:rsidR="005B415F">
        <w:rPr>
          <w:rFonts w:cs="Times New Roman"/>
          <w:szCs w:val="24"/>
        </w:rPr>
        <w:t>stability and change</w:t>
      </w:r>
      <w:r w:rsidR="00E20473" w:rsidRPr="00CC3E19">
        <w:rPr>
          <w:rFonts w:cs="Times New Roman"/>
          <w:szCs w:val="24"/>
        </w:rPr>
        <w:t>.</w:t>
      </w:r>
    </w:p>
    <w:p w:rsidR="005A1651" w:rsidRPr="00CC3E19" w:rsidRDefault="00E62DBD" w:rsidP="00CC3E19">
      <w:pPr>
        <w:ind w:firstLine="720"/>
        <w:rPr>
          <w:rFonts w:cs="Times New Roman"/>
          <w:szCs w:val="24"/>
        </w:rPr>
      </w:pPr>
      <w:r w:rsidRPr="00CC3E19">
        <w:rPr>
          <w:rFonts w:cs="Times New Roman"/>
          <w:szCs w:val="24"/>
        </w:rPr>
        <w:t xml:space="preserve">Judging from </w:t>
      </w:r>
      <w:r w:rsidR="00CC1E74" w:rsidRPr="00CC3E19">
        <w:rPr>
          <w:rFonts w:cs="Times New Roman"/>
          <w:szCs w:val="24"/>
        </w:rPr>
        <w:t>a large</w:t>
      </w:r>
      <w:r w:rsidRPr="00CC3E19">
        <w:rPr>
          <w:rFonts w:cs="Times New Roman"/>
          <w:szCs w:val="24"/>
        </w:rPr>
        <w:t xml:space="preserve"> majority of the </w:t>
      </w:r>
      <w:r w:rsidR="005B415F">
        <w:rPr>
          <w:rFonts w:cs="Times New Roman"/>
          <w:szCs w:val="24"/>
        </w:rPr>
        <w:t>12</w:t>
      </w:r>
      <w:r w:rsidRPr="00CC3E19">
        <w:rPr>
          <w:rFonts w:cs="Times New Roman"/>
          <w:szCs w:val="24"/>
        </w:rPr>
        <w:t xml:space="preserve"> issues in the analysis, i</w:t>
      </w:r>
      <w:r w:rsidR="007B7BB7" w:rsidRPr="00CC3E19">
        <w:rPr>
          <w:rFonts w:cs="Times New Roman"/>
          <w:szCs w:val="24"/>
        </w:rPr>
        <w:t xml:space="preserve">ssue ownership appears </w:t>
      </w:r>
      <w:r w:rsidR="00431B94">
        <w:rPr>
          <w:rFonts w:cs="Times New Roman"/>
          <w:szCs w:val="24"/>
        </w:rPr>
        <w:t>quite</w:t>
      </w:r>
      <w:r w:rsidR="007B7BB7" w:rsidRPr="00CC3E19">
        <w:rPr>
          <w:rFonts w:cs="Times New Roman"/>
          <w:szCs w:val="24"/>
        </w:rPr>
        <w:t xml:space="preserve"> stable across time and</w:t>
      </w:r>
      <w:r w:rsidR="008E66B8">
        <w:rPr>
          <w:rFonts w:cs="Times New Roman"/>
          <w:szCs w:val="24"/>
        </w:rPr>
        <w:t xml:space="preserve"> quite similar across countries</w:t>
      </w:r>
      <w:r w:rsidR="00D42EBA">
        <w:rPr>
          <w:rFonts w:cs="Times New Roman"/>
          <w:szCs w:val="24"/>
        </w:rPr>
        <w:t xml:space="preserve"> when comparing the links between issues and parties to the left and right of the political spectrum</w:t>
      </w:r>
      <w:r w:rsidR="00F046E9" w:rsidRPr="00CC3E19">
        <w:rPr>
          <w:rFonts w:cs="Times New Roman"/>
          <w:szCs w:val="24"/>
        </w:rPr>
        <w:t xml:space="preserve">. </w:t>
      </w:r>
      <w:r w:rsidR="007B7BB7" w:rsidRPr="00CC3E19">
        <w:rPr>
          <w:rFonts w:cs="Times New Roman"/>
          <w:szCs w:val="24"/>
        </w:rPr>
        <w:t xml:space="preserve">It is fairly accurate to talk about an association </w:t>
      </w:r>
      <w:r w:rsidR="00CC1E74" w:rsidRPr="00CC3E19">
        <w:rPr>
          <w:rFonts w:cs="Times New Roman"/>
          <w:szCs w:val="24"/>
        </w:rPr>
        <w:t>between l</w:t>
      </w:r>
      <w:r w:rsidR="007B7BB7" w:rsidRPr="00CC3E19">
        <w:rPr>
          <w:rFonts w:cs="Times New Roman"/>
          <w:szCs w:val="24"/>
        </w:rPr>
        <w:t xml:space="preserve">eft parties and issues related to the welfare state </w:t>
      </w:r>
      <w:r w:rsidR="00355C17" w:rsidRPr="00CC3E19">
        <w:rPr>
          <w:rFonts w:cs="Times New Roman"/>
          <w:szCs w:val="24"/>
        </w:rPr>
        <w:t xml:space="preserve">such </w:t>
      </w:r>
      <w:r w:rsidR="007B7BB7" w:rsidRPr="00CC3E19">
        <w:rPr>
          <w:rFonts w:cs="Times New Roman"/>
          <w:szCs w:val="24"/>
        </w:rPr>
        <w:t xml:space="preserve">as </w:t>
      </w:r>
      <w:r w:rsidR="00355C17" w:rsidRPr="00CC3E19">
        <w:rPr>
          <w:rFonts w:cs="Times New Roman"/>
          <w:szCs w:val="24"/>
        </w:rPr>
        <w:t xml:space="preserve">health, education, social security, unemployment as well as the environment. </w:t>
      </w:r>
      <w:r w:rsidR="007B7BB7" w:rsidRPr="00CC3E19">
        <w:rPr>
          <w:rFonts w:cs="Times New Roman"/>
          <w:szCs w:val="24"/>
        </w:rPr>
        <w:t xml:space="preserve">Right parties </w:t>
      </w:r>
      <w:r w:rsidR="00355C17" w:rsidRPr="00CC3E19">
        <w:rPr>
          <w:rFonts w:cs="Times New Roman"/>
          <w:szCs w:val="24"/>
        </w:rPr>
        <w:t xml:space="preserve">are associated with </w:t>
      </w:r>
      <w:r w:rsidR="007B7BB7" w:rsidRPr="00CC3E19">
        <w:rPr>
          <w:rFonts w:cs="Times New Roman"/>
          <w:szCs w:val="24"/>
        </w:rPr>
        <w:t>issues related to national interests</w:t>
      </w:r>
      <w:r w:rsidR="00355C17" w:rsidRPr="00CC3E19">
        <w:rPr>
          <w:rFonts w:cs="Times New Roman"/>
          <w:szCs w:val="24"/>
        </w:rPr>
        <w:t xml:space="preserve"> such as law and order, asylum and immigration, the EU</w:t>
      </w:r>
      <w:r w:rsidR="00567934" w:rsidRPr="00CC3E19">
        <w:rPr>
          <w:rFonts w:cs="Times New Roman"/>
          <w:szCs w:val="24"/>
        </w:rPr>
        <w:t>,</w:t>
      </w:r>
      <w:r w:rsidR="00355C17" w:rsidRPr="00CC3E19">
        <w:rPr>
          <w:rFonts w:cs="Times New Roman"/>
          <w:szCs w:val="24"/>
        </w:rPr>
        <w:t xml:space="preserve"> and </w:t>
      </w:r>
      <w:r w:rsidR="00392508" w:rsidRPr="00CC3E19">
        <w:rPr>
          <w:rFonts w:cs="Times New Roman"/>
          <w:szCs w:val="24"/>
        </w:rPr>
        <w:t xml:space="preserve">to some extent also </w:t>
      </w:r>
      <w:r w:rsidR="001612F6" w:rsidRPr="00CC3E19">
        <w:rPr>
          <w:rFonts w:cs="Times New Roman"/>
          <w:szCs w:val="24"/>
        </w:rPr>
        <w:t>the size of the state</w:t>
      </w:r>
      <w:r w:rsidR="003D1A70" w:rsidRPr="00CC3E19">
        <w:rPr>
          <w:rFonts w:cs="Times New Roman"/>
          <w:szCs w:val="24"/>
        </w:rPr>
        <w:t>,</w:t>
      </w:r>
      <w:r w:rsidR="001612F6" w:rsidRPr="00CC3E19">
        <w:rPr>
          <w:rFonts w:cs="Times New Roman"/>
          <w:szCs w:val="24"/>
        </w:rPr>
        <w:t xml:space="preserve"> such as </w:t>
      </w:r>
      <w:r w:rsidR="00355C17" w:rsidRPr="00CC3E19">
        <w:rPr>
          <w:rFonts w:cs="Times New Roman"/>
          <w:szCs w:val="24"/>
        </w:rPr>
        <w:t>taxes</w:t>
      </w:r>
      <w:r w:rsidR="007B7BB7" w:rsidRPr="00CC3E19">
        <w:rPr>
          <w:rFonts w:cs="Times New Roman"/>
          <w:szCs w:val="24"/>
        </w:rPr>
        <w:t>.</w:t>
      </w:r>
      <w:r w:rsidR="00E7680B" w:rsidRPr="00CC3E19">
        <w:rPr>
          <w:rFonts w:cs="Times New Roman"/>
          <w:szCs w:val="24"/>
        </w:rPr>
        <w:t xml:space="preserve"> </w:t>
      </w:r>
      <w:r w:rsidR="00431B94">
        <w:rPr>
          <w:rFonts w:cs="Times New Roman"/>
          <w:szCs w:val="24"/>
        </w:rPr>
        <w:t>This</w:t>
      </w:r>
      <w:r w:rsidR="00E7680B" w:rsidRPr="00CC3E19">
        <w:rPr>
          <w:rFonts w:cs="Times New Roman"/>
          <w:szCs w:val="24"/>
        </w:rPr>
        <w:t xml:space="preserve"> pattern of issue-party connections matches previous findings. </w:t>
      </w:r>
      <w:r w:rsidR="00E93572" w:rsidRPr="00CC3E19">
        <w:rPr>
          <w:rFonts w:cs="Times New Roman"/>
          <w:szCs w:val="24"/>
        </w:rPr>
        <w:t xml:space="preserve">Whereas elderly care and families </w:t>
      </w:r>
      <w:r w:rsidR="00B0399C" w:rsidRPr="00CC3E19">
        <w:rPr>
          <w:rFonts w:cs="Times New Roman"/>
          <w:szCs w:val="24"/>
        </w:rPr>
        <w:t xml:space="preserve">today </w:t>
      </w:r>
      <w:r w:rsidR="00E93572" w:rsidRPr="00CC3E19">
        <w:rPr>
          <w:rFonts w:cs="Times New Roman"/>
          <w:szCs w:val="24"/>
        </w:rPr>
        <w:t>appear to belong to the left across countries</w:t>
      </w:r>
      <w:r w:rsidR="00B0399C" w:rsidRPr="00CC3E19">
        <w:rPr>
          <w:rFonts w:cs="Times New Roman"/>
          <w:szCs w:val="24"/>
        </w:rPr>
        <w:t>,</w:t>
      </w:r>
      <w:r w:rsidR="00E93572" w:rsidRPr="00CC3E19">
        <w:rPr>
          <w:rFonts w:cs="Times New Roman"/>
          <w:szCs w:val="24"/>
        </w:rPr>
        <w:t xml:space="preserve"> and tax and the economy to the right, this </w:t>
      </w:r>
      <w:r w:rsidR="00D11402" w:rsidRPr="00CC3E19">
        <w:rPr>
          <w:rFonts w:cs="Times New Roman"/>
          <w:szCs w:val="24"/>
        </w:rPr>
        <w:t xml:space="preserve">residual group of issues </w:t>
      </w:r>
      <w:r w:rsidR="00E93572" w:rsidRPr="00CC3E19">
        <w:rPr>
          <w:rFonts w:cs="Times New Roman"/>
          <w:szCs w:val="24"/>
        </w:rPr>
        <w:t xml:space="preserve">appears to </w:t>
      </w:r>
      <w:r w:rsidR="00D11402" w:rsidRPr="00CC3E19">
        <w:rPr>
          <w:rFonts w:cs="Times New Roman"/>
          <w:szCs w:val="24"/>
        </w:rPr>
        <w:t xml:space="preserve">be unconnected to a particular party over time. </w:t>
      </w:r>
      <w:r w:rsidR="00ED5387" w:rsidRPr="00CC3E19">
        <w:rPr>
          <w:rFonts w:cs="Times New Roman"/>
          <w:szCs w:val="24"/>
        </w:rPr>
        <w:t>Existing studies also report such instability over time on the economy, but not on the three other issues.</w:t>
      </w:r>
      <w:r w:rsidR="00D42EBA">
        <w:rPr>
          <w:rFonts w:cs="Times New Roman"/>
          <w:szCs w:val="24"/>
        </w:rPr>
        <w:t xml:space="preserve"> </w:t>
      </w:r>
      <w:r w:rsidR="00AE0368">
        <w:rPr>
          <w:rFonts w:cs="Times New Roman"/>
          <w:szCs w:val="24"/>
        </w:rPr>
        <w:t xml:space="preserve">The level of stability </w:t>
      </w:r>
      <w:r w:rsidR="001029E0">
        <w:rPr>
          <w:rFonts w:cs="Times New Roman"/>
          <w:szCs w:val="24"/>
        </w:rPr>
        <w:t>is probably</w:t>
      </w:r>
      <w:r w:rsidR="00AE0368">
        <w:rPr>
          <w:rFonts w:cs="Times New Roman"/>
          <w:szCs w:val="24"/>
        </w:rPr>
        <w:t xml:space="preserve"> lower at the level</w:t>
      </w:r>
      <w:r w:rsidR="001442B1">
        <w:rPr>
          <w:rFonts w:cs="Times New Roman"/>
          <w:szCs w:val="24"/>
        </w:rPr>
        <w:t xml:space="preserve"> of individual parties</w:t>
      </w:r>
      <w:r w:rsidR="00AE0368">
        <w:rPr>
          <w:rFonts w:cs="Times New Roman"/>
          <w:szCs w:val="24"/>
        </w:rPr>
        <w:t xml:space="preserve">, where issue ownership may be switching back and forth between a </w:t>
      </w:r>
      <w:r w:rsidR="00E8688C">
        <w:rPr>
          <w:rFonts w:cs="Times New Roman"/>
          <w:szCs w:val="24"/>
        </w:rPr>
        <w:t>c</w:t>
      </w:r>
      <w:r w:rsidR="00AE0368">
        <w:rPr>
          <w:rFonts w:cs="Times New Roman"/>
          <w:szCs w:val="24"/>
        </w:rPr>
        <w:t xml:space="preserve">onservative and a </w:t>
      </w:r>
      <w:r w:rsidR="00E8688C">
        <w:rPr>
          <w:rFonts w:cs="Times New Roman"/>
          <w:szCs w:val="24"/>
        </w:rPr>
        <w:t>l</w:t>
      </w:r>
      <w:r w:rsidR="00AE0368">
        <w:rPr>
          <w:rFonts w:cs="Times New Roman"/>
          <w:szCs w:val="24"/>
        </w:rPr>
        <w:t xml:space="preserve">iberal party or a </w:t>
      </w:r>
      <w:r w:rsidR="00E8688C">
        <w:rPr>
          <w:rFonts w:cs="Times New Roman"/>
          <w:szCs w:val="24"/>
        </w:rPr>
        <w:t>s</w:t>
      </w:r>
      <w:r w:rsidR="00AE0368">
        <w:rPr>
          <w:rFonts w:cs="Times New Roman"/>
          <w:szCs w:val="24"/>
        </w:rPr>
        <w:t xml:space="preserve">ocialist and a </w:t>
      </w:r>
      <w:r w:rsidR="00E8688C">
        <w:rPr>
          <w:rFonts w:cs="Times New Roman"/>
          <w:szCs w:val="24"/>
        </w:rPr>
        <w:t>c</w:t>
      </w:r>
      <w:r w:rsidR="00AE0368">
        <w:rPr>
          <w:rFonts w:cs="Times New Roman"/>
          <w:szCs w:val="24"/>
        </w:rPr>
        <w:t>ommunist party, but the important point from this analysis is that issue ownership does not tend to cross-over from left to right</w:t>
      </w:r>
      <w:r w:rsidR="001442B1">
        <w:rPr>
          <w:rFonts w:cs="Times New Roman"/>
          <w:szCs w:val="24"/>
        </w:rPr>
        <w:t xml:space="preserve"> potentially spurring a change of government</w:t>
      </w:r>
      <w:r w:rsidR="00AE0368">
        <w:rPr>
          <w:rFonts w:cs="Times New Roman"/>
          <w:szCs w:val="24"/>
        </w:rPr>
        <w:t xml:space="preserve">. </w:t>
      </w:r>
    </w:p>
    <w:p w:rsidR="007B7BB7" w:rsidRPr="00CC3E19" w:rsidRDefault="0034457E" w:rsidP="00CC3E19">
      <w:pPr>
        <w:ind w:firstLine="720"/>
        <w:rPr>
          <w:rFonts w:cs="Times New Roman"/>
          <w:szCs w:val="24"/>
        </w:rPr>
      </w:pPr>
      <w:r w:rsidRPr="00CC3E19">
        <w:rPr>
          <w:rFonts w:cs="Times New Roman"/>
          <w:szCs w:val="24"/>
        </w:rPr>
        <w:t xml:space="preserve">The most important message of this study is that </w:t>
      </w:r>
      <w:r w:rsidR="00567934" w:rsidRPr="00CC3E19">
        <w:rPr>
          <w:rFonts w:cs="Times New Roman"/>
          <w:szCs w:val="24"/>
        </w:rPr>
        <w:t xml:space="preserve">connections between parties and issues in the eyes of the voters </w:t>
      </w:r>
      <w:r w:rsidR="00B0399C" w:rsidRPr="00CC3E19">
        <w:rPr>
          <w:rFonts w:cs="Times New Roman"/>
          <w:szCs w:val="24"/>
        </w:rPr>
        <w:t xml:space="preserve">are </w:t>
      </w:r>
      <w:r w:rsidR="007B7BB7" w:rsidRPr="00CC3E19">
        <w:rPr>
          <w:rFonts w:cs="Times New Roman"/>
          <w:szCs w:val="24"/>
        </w:rPr>
        <w:t xml:space="preserve">generally persistent despite </w:t>
      </w:r>
      <w:bookmarkStart w:id="3" w:name="OLE_LINK3"/>
      <w:bookmarkStart w:id="4" w:name="OLE_LINK4"/>
      <w:r w:rsidR="00567934" w:rsidRPr="00CC3E19">
        <w:rPr>
          <w:rFonts w:cs="Times New Roman"/>
          <w:szCs w:val="24"/>
        </w:rPr>
        <w:t xml:space="preserve">changes in the political landscape where </w:t>
      </w:r>
      <w:bookmarkEnd w:id="3"/>
      <w:bookmarkEnd w:id="4"/>
      <w:r w:rsidR="007B7BB7" w:rsidRPr="00CC3E19">
        <w:rPr>
          <w:rFonts w:cs="Times New Roman"/>
          <w:szCs w:val="24"/>
        </w:rPr>
        <w:t>cleavages and alignments between parties and voters as a structure for political conflict</w:t>
      </w:r>
      <w:r w:rsidR="00E20473" w:rsidRPr="00CC3E19">
        <w:rPr>
          <w:rFonts w:cs="Times New Roman"/>
          <w:szCs w:val="24"/>
        </w:rPr>
        <w:t xml:space="preserve"> are </w:t>
      </w:r>
      <w:r w:rsidR="00567934" w:rsidRPr="00CC3E19">
        <w:rPr>
          <w:rFonts w:cs="Times New Roman"/>
          <w:szCs w:val="24"/>
        </w:rPr>
        <w:t xml:space="preserve">found to be </w:t>
      </w:r>
      <w:r w:rsidR="00E20473" w:rsidRPr="00CC3E19">
        <w:rPr>
          <w:rFonts w:cs="Times New Roman"/>
          <w:szCs w:val="24"/>
        </w:rPr>
        <w:t>eroding</w:t>
      </w:r>
      <w:r w:rsidR="00567934" w:rsidRPr="00CC3E19">
        <w:rPr>
          <w:rFonts w:cs="Times New Roman"/>
          <w:szCs w:val="24"/>
        </w:rPr>
        <w:t xml:space="preserve"> </w:t>
      </w:r>
      <w:r w:rsidR="00724515" w:rsidRPr="00CC3E19">
        <w:rPr>
          <w:rFonts w:cs="Times New Roman"/>
          <w:szCs w:val="24"/>
        </w:rPr>
        <w:fldChar w:fldCharType="begin"/>
      </w:r>
      <w:r w:rsidR="00C700AC" w:rsidRPr="00CC3E19">
        <w:rPr>
          <w:rFonts w:cs="Times New Roman"/>
          <w:szCs w:val="24"/>
        </w:rPr>
        <w:instrText xml:space="preserve"> ADDIN ZOTERO_ITEM CSL_CITATION {"citationID":"HtukTiUY","properties":{"formattedCitation":"(Dalton and Wattenberg 2002; Green-Pedersen 2007, -)","plainCitation":"(Dalton and Wattenberg 2002; Green-Pedersen 2007, -)"},"citationItems":[{"id":22,"uris":["http://zotero.org/users/local/7eX6MhG9/items/BDFHKGHS"],"uri":["http://zotero.org/users/local/7eX6MhG9/items/BDFHKGHS"],"itemData":{"id":22,"type":"book","title":"Parties without partisans","publisher":"Oxford University Press.","publisher-place":"Oxford","event-place":"Oxford","author":[{"family":"Dalton","given":"Russell"},{"family":"Wattenberg","given":"Martin"}],"issued":{"date-parts":[["2002"]]}}},{"id":29,"uris":["http://zotero.org/users/local/7eX6MhG9/items/5AWTS4GM"],"uri":["http://zotero.org/users/local/7eX6MhG9/items/5AWTS4GM"],"itemData":{"id":29,"type":"article-journal","title":"The growing importance of Issues","container-title":"Political Studies","page":"608–628","volume":"55","issue":"4","author":[{"family":"Green-Pedersen","given":"Christoffer"}],"issued":{"date-parts":[["2007"]]}},"locator":"-"}],"schema":"https://github.com/citation-style-language/schema/raw/master/csl-citation.json"} </w:instrText>
      </w:r>
      <w:r w:rsidR="00724515" w:rsidRPr="00CC3E19">
        <w:rPr>
          <w:rFonts w:cs="Times New Roman"/>
          <w:szCs w:val="24"/>
        </w:rPr>
        <w:fldChar w:fldCharType="separate"/>
      </w:r>
      <w:r w:rsidR="00724515" w:rsidRPr="00CC3E19">
        <w:rPr>
          <w:rFonts w:cs="Times New Roman"/>
          <w:szCs w:val="24"/>
        </w:rPr>
        <w:t>(Dalton and Wattenberg 2002; Green-Pedersen 2007)</w:t>
      </w:r>
      <w:r w:rsidR="00724515" w:rsidRPr="00CC3E19">
        <w:rPr>
          <w:rFonts w:cs="Times New Roman"/>
          <w:szCs w:val="24"/>
        </w:rPr>
        <w:fldChar w:fldCharType="end"/>
      </w:r>
      <w:r w:rsidR="007B7BB7" w:rsidRPr="00CC3E19">
        <w:rPr>
          <w:rFonts w:cs="Times New Roman"/>
          <w:szCs w:val="24"/>
        </w:rPr>
        <w:t xml:space="preserve">. </w:t>
      </w:r>
      <w:r w:rsidR="00567934" w:rsidRPr="00CC3E19">
        <w:rPr>
          <w:rFonts w:cs="Times New Roman"/>
          <w:szCs w:val="24"/>
        </w:rPr>
        <w:t>According to the analysis, a</w:t>
      </w:r>
      <w:r w:rsidR="007B7BB7" w:rsidRPr="00CC3E19">
        <w:rPr>
          <w:rFonts w:cs="Times New Roman"/>
          <w:szCs w:val="24"/>
        </w:rPr>
        <w:t xml:space="preserve"> party’s historical affiliation with an issue seem</w:t>
      </w:r>
      <w:r w:rsidR="00B60753" w:rsidRPr="00CC3E19">
        <w:rPr>
          <w:rFonts w:cs="Times New Roman"/>
          <w:szCs w:val="24"/>
        </w:rPr>
        <w:t>s</w:t>
      </w:r>
      <w:r w:rsidR="007B7BB7" w:rsidRPr="00CC3E19">
        <w:rPr>
          <w:rFonts w:cs="Times New Roman"/>
          <w:szCs w:val="24"/>
        </w:rPr>
        <w:t xml:space="preserve"> in the long run to make its issue association robust to short-term fluctuations in parties’ performance on issues and the specific context. In this sense, the study </w:t>
      </w:r>
      <w:r w:rsidR="00BF58FA" w:rsidRPr="00CC3E19">
        <w:rPr>
          <w:rFonts w:cs="Times New Roman"/>
          <w:szCs w:val="24"/>
        </w:rPr>
        <w:t>takes a step to</w:t>
      </w:r>
      <w:r w:rsidR="00B0399C" w:rsidRPr="00CC3E19">
        <w:rPr>
          <w:rFonts w:cs="Times New Roman"/>
          <w:szCs w:val="24"/>
        </w:rPr>
        <w:t>wards</w:t>
      </w:r>
      <w:r w:rsidR="00BF58FA" w:rsidRPr="00CC3E19">
        <w:rPr>
          <w:rFonts w:cs="Times New Roman"/>
          <w:szCs w:val="24"/>
        </w:rPr>
        <w:t xml:space="preserve"> clarify</w:t>
      </w:r>
      <w:r w:rsidR="003D1A70" w:rsidRPr="00CC3E19">
        <w:rPr>
          <w:rFonts w:cs="Times New Roman"/>
          <w:szCs w:val="24"/>
        </w:rPr>
        <w:t>ing</w:t>
      </w:r>
      <w:r w:rsidR="00BF58FA" w:rsidRPr="00CC3E19">
        <w:rPr>
          <w:rFonts w:cs="Times New Roman"/>
          <w:szCs w:val="24"/>
        </w:rPr>
        <w:t xml:space="preserve"> the ambiguity from </w:t>
      </w:r>
      <w:r w:rsidR="007B7BB7" w:rsidRPr="00CC3E19">
        <w:rPr>
          <w:rFonts w:cs="Times New Roman"/>
          <w:szCs w:val="24"/>
        </w:rPr>
        <w:t>Petrocik</w:t>
      </w:r>
      <w:r w:rsidR="00BF58FA" w:rsidRPr="00CC3E19">
        <w:rPr>
          <w:rFonts w:cs="Times New Roman"/>
          <w:szCs w:val="24"/>
        </w:rPr>
        <w:t xml:space="preserve">’s conceptualization of issue ownership by highlighting </w:t>
      </w:r>
      <w:r w:rsidR="007B7BB7" w:rsidRPr="00CC3E19">
        <w:rPr>
          <w:rFonts w:cs="Times New Roman"/>
          <w:szCs w:val="24"/>
        </w:rPr>
        <w:t>long-term</w:t>
      </w:r>
      <w:r w:rsidR="00BF58FA" w:rsidRPr="00CC3E19">
        <w:rPr>
          <w:rFonts w:cs="Times New Roman"/>
          <w:szCs w:val="24"/>
        </w:rPr>
        <w:t xml:space="preserve"> stability over </w:t>
      </w:r>
      <w:r w:rsidR="007B7BB7" w:rsidRPr="00CC3E19">
        <w:rPr>
          <w:rFonts w:cs="Times New Roman"/>
          <w:szCs w:val="24"/>
        </w:rPr>
        <w:t xml:space="preserve">short-term </w:t>
      </w:r>
      <w:r w:rsidR="00BF58FA" w:rsidRPr="00CC3E19">
        <w:rPr>
          <w:rFonts w:cs="Times New Roman"/>
          <w:szCs w:val="24"/>
        </w:rPr>
        <w:t xml:space="preserve">instability </w:t>
      </w:r>
      <w:r w:rsidR="007B7BB7" w:rsidRPr="00CC3E19">
        <w:rPr>
          <w:rFonts w:cs="Times New Roman"/>
          <w:szCs w:val="24"/>
        </w:rPr>
        <w:t>(1996</w:t>
      </w:r>
      <w:r w:rsidR="000943AF" w:rsidRPr="00CC3E19">
        <w:rPr>
          <w:rFonts w:cs="Times New Roman"/>
          <w:szCs w:val="24"/>
        </w:rPr>
        <w:t>,</w:t>
      </w:r>
      <w:r w:rsidR="007B7BB7" w:rsidRPr="00CC3E19">
        <w:rPr>
          <w:rFonts w:cs="Times New Roman"/>
          <w:szCs w:val="24"/>
        </w:rPr>
        <w:t xml:space="preserve"> 826-8).</w:t>
      </w:r>
      <w:r w:rsidR="00E21305" w:rsidRPr="00CC3E19">
        <w:rPr>
          <w:rFonts w:cs="Times New Roman"/>
          <w:szCs w:val="24"/>
        </w:rPr>
        <w:t xml:space="preserve"> </w:t>
      </w:r>
    </w:p>
    <w:p w:rsidR="007B7BB7" w:rsidRPr="00CC3E19" w:rsidRDefault="007B7BB7" w:rsidP="00CC3E19">
      <w:pPr>
        <w:ind w:firstLine="720"/>
        <w:rPr>
          <w:rFonts w:cs="Times New Roman"/>
          <w:szCs w:val="24"/>
        </w:rPr>
      </w:pPr>
      <w:r w:rsidRPr="00CC3E19">
        <w:rPr>
          <w:rFonts w:cs="Times New Roman"/>
          <w:szCs w:val="24"/>
        </w:rPr>
        <w:t>Th</w:t>
      </w:r>
      <w:r w:rsidR="000E7FF9" w:rsidRPr="00CC3E19">
        <w:rPr>
          <w:rFonts w:cs="Times New Roman"/>
          <w:szCs w:val="24"/>
        </w:rPr>
        <w:t xml:space="preserve">e </w:t>
      </w:r>
      <w:r w:rsidRPr="00CC3E19">
        <w:rPr>
          <w:rFonts w:cs="Times New Roman"/>
          <w:szCs w:val="24"/>
        </w:rPr>
        <w:t xml:space="preserve">implications for </w:t>
      </w:r>
      <w:r w:rsidR="00781A48" w:rsidRPr="00CC3E19">
        <w:rPr>
          <w:rFonts w:cs="Times New Roman"/>
          <w:szCs w:val="24"/>
        </w:rPr>
        <w:t>our conception</w:t>
      </w:r>
      <w:r w:rsidRPr="00CC3E19">
        <w:rPr>
          <w:rFonts w:cs="Times New Roman"/>
          <w:szCs w:val="24"/>
        </w:rPr>
        <w:t xml:space="preserve"> of </w:t>
      </w:r>
      <w:r w:rsidR="00781A48" w:rsidRPr="00CC3E19">
        <w:rPr>
          <w:rFonts w:cs="Times New Roman"/>
          <w:szCs w:val="24"/>
        </w:rPr>
        <w:t xml:space="preserve">the relationship between </w:t>
      </w:r>
      <w:r w:rsidRPr="00CC3E19">
        <w:rPr>
          <w:rFonts w:cs="Times New Roman"/>
          <w:szCs w:val="24"/>
        </w:rPr>
        <w:t>parties and voters</w:t>
      </w:r>
      <w:r w:rsidR="000E7FF9" w:rsidRPr="00CC3E19">
        <w:rPr>
          <w:rFonts w:cs="Times New Roman"/>
          <w:szCs w:val="24"/>
        </w:rPr>
        <w:t xml:space="preserve"> are important</w:t>
      </w:r>
      <w:r w:rsidRPr="00CC3E19">
        <w:rPr>
          <w:rFonts w:cs="Times New Roman"/>
          <w:szCs w:val="24"/>
        </w:rPr>
        <w:t xml:space="preserve">. </w:t>
      </w:r>
      <w:r w:rsidR="00FE3C1F" w:rsidRPr="00CC3E19">
        <w:rPr>
          <w:rFonts w:cs="Times New Roman"/>
          <w:szCs w:val="24"/>
        </w:rPr>
        <w:t>This study indicates that i</w:t>
      </w:r>
      <w:r w:rsidRPr="00CC3E19">
        <w:rPr>
          <w:rFonts w:cs="Times New Roman"/>
          <w:szCs w:val="24"/>
        </w:rPr>
        <w:t xml:space="preserve">ssue ownership </w:t>
      </w:r>
      <w:r w:rsidR="00FE3C1F" w:rsidRPr="00CC3E19">
        <w:rPr>
          <w:rFonts w:cs="Times New Roman"/>
          <w:szCs w:val="24"/>
        </w:rPr>
        <w:t xml:space="preserve">is </w:t>
      </w:r>
      <w:r w:rsidR="00B60753" w:rsidRPr="00CC3E19">
        <w:rPr>
          <w:rFonts w:cs="Times New Roman"/>
          <w:szCs w:val="24"/>
        </w:rPr>
        <w:t>a</w:t>
      </w:r>
      <w:r w:rsidRPr="00CC3E19">
        <w:rPr>
          <w:rFonts w:cs="Times New Roman"/>
          <w:szCs w:val="24"/>
        </w:rPr>
        <w:t xml:space="preserve"> key source of information on how </w:t>
      </w:r>
      <w:r w:rsidR="00781A48" w:rsidRPr="00CC3E19">
        <w:rPr>
          <w:rFonts w:cs="Times New Roman"/>
          <w:szCs w:val="24"/>
        </w:rPr>
        <w:t xml:space="preserve">voters generally perceive </w:t>
      </w:r>
      <w:r w:rsidRPr="00CC3E19">
        <w:rPr>
          <w:rFonts w:cs="Times New Roman"/>
          <w:szCs w:val="24"/>
        </w:rPr>
        <w:t>parties</w:t>
      </w:r>
      <w:r w:rsidR="00B60753" w:rsidRPr="00CC3E19">
        <w:rPr>
          <w:rFonts w:cs="Times New Roman"/>
          <w:szCs w:val="24"/>
        </w:rPr>
        <w:t xml:space="preserve"> – i</w:t>
      </w:r>
      <w:r w:rsidRPr="00CC3E19">
        <w:rPr>
          <w:rFonts w:cs="Times New Roman"/>
          <w:szCs w:val="24"/>
        </w:rPr>
        <w:t>ssue</w:t>
      </w:r>
      <w:r w:rsidR="00B60753" w:rsidRPr="00CC3E19">
        <w:rPr>
          <w:rFonts w:cs="Times New Roman"/>
          <w:szCs w:val="24"/>
        </w:rPr>
        <w:t xml:space="preserve"> </w:t>
      </w:r>
      <w:r w:rsidRPr="00CC3E19">
        <w:rPr>
          <w:rFonts w:cs="Times New Roman"/>
          <w:szCs w:val="24"/>
        </w:rPr>
        <w:t xml:space="preserve">associations </w:t>
      </w:r>
      <w:r w:rsidR="00781A48" w:rsidRPr="00CC3E19">
        <w:rPr>
          <w:rFonts w:cs="Times New Roman"/>
          <w:szCs w:val="24"/>
        </w:rPr>
        <w:t xml:space="preserve">are an integral part of what </w:t>
      </w:r>
      <w:r w:rsidRPr="00CC3E19">
        <w:rPr>
          <w:rFonts w:cs="Times New Roman"/>
          <w:szCs w:val="24"/>
        </w:rPr>
        <w:t>parties</w:t>
      </w:r>
      <w:r w:rsidR="00781A48" w:rsidRPr="00CC3E19">
        <w:rPr>
          <w:rFonts w:cs="Times New Roman"/>
          <w:szCs w:val="24"/>
        </w:rPr>
        <w:t xml:space="preserve"> are</w:t>
      </w:r>
      <w:r w:rsidRPr="00CC3E19">
        <w:rPr>
          <w:rFonts w:cs="Times New Roman"/>
          <w:szCs w:val="24"/>
        </w:rPr>
        <w:t xml:space="preserve">. Parties are not only ideological creatures defending a particular </w:t>
      </w:r>
      <w:r w:rsidR="00305734" w:rsidRPr="00CC3E19">
        <w:rPr>
          <w:rFonts w:cs="Times New Roman"/>
          <w:szCs w:val="24"/>
        </w:rPr>
        <w:t>standpoint</w:t>
      </w:r>
      <w:r w:rsidRPr="00CC3E19">
        <w:rPr>
          <w:rFonts w:cs="Times New Roman"/>
          <w:szCs w:val="24"/>
        </w:rPr>
        <w:t xml:space="preserve"> </w:t>
      </w:r>
      <w:r w:rsidRPr="00CC3E19">
        <w:rPr>
          <w:rFonts w:cs="Times New Roman"/>
          <w:szCs w:val="24"/>
        </w:rPr>
        <w:fldChar w:fldCharType="begin"/>
      </w:r>
      <w:r w:rsidR="00C700AC" w:rsidRPr="00CC3E19">
        <w:rPr>
          <w:rFonts w:cs="Times New Roman"/>
          <w:szCs w:val="24"/>
        </w:rPr>
        <w:instrText xml:space="preserve"> ADDIN ZOTERO_ITEM CSL_CITATION {"citationID":"kCZwDGtr","properties":{"formattedCitation":"(Budge 1994)","plainCitation":"(Budge 1994)"},"citationItems":[{"id":16,"uris":["http://zotero.org/users/local/7eX6MhG9/items/BNVQ9TXS"],"uri":["http://zotero.org/users/local/7eX6MhG9/items/BNVQ9TXS"],"itemData":{"id":16,"type":"article-journal","title":"A New Spatial Theory of Party Competition: Uncertainty, Ideology, and Policy Equilibria Viewed Comparatively and Temporally","container-title":"British Journal of Political Science","page":"443–67","volume":"24","issue":"4","author":[{"family":"Budge","given":"Ian"}],"issued":{"date-parts":[["1994"]]}}}],"schema":"https://github.com/citation-style-language/schema/raw/master/csl-citation.json"} </w:instrText>
      </w:r>
      <w:r w:rsidRPr="00CC3E19">
        <w:rPr>
          <w:rFonts w:cs="Times New Roman"/>
          <w:szCs w:val="24"/>
        </w:rPr>
        <w:fldChar w:fldCharType="separate"/>
      </w:r>
      <w:r w:rsidR="00C700AC" w:rsidRPr="00CC3E19">
        <w:rPr>
          <w:rFonts w:cs="Times New Roman"/>
          <w:szCs w:val="24"/>
        </w:rPr>
        <w:t>(Budge 1994)</w:t>
      </w:r>
      <w:r w:rsidRPr="00CC3E19">
        <w:rPr>
          <w:rFonts w:cs="Times New Roman"/>
          <w:szCs w:val="24"/>
        </w:rPr>
        <w:fldChar w:fldCharType="end"/>
      </w:r>
      <w:r w:rsidRPr="00CC3E19">
        <w:rPr>
          <w:rFonts w:cs="Times New Roman"/>
          <w:szCs w:val="24"/>
        </w:rPr>
        <w:t xml:space="preserve">, but also entities defined by the issues they are associated with </w:t>
      </w:r>
      <w:r w:rsidRPr="00CC3E19">
        <w:rPr>
          <w:rFonts w:cs="Times New Roman"/>
          <w:szCs w:val="24"/>
        </w:rPr>
        <w:fldChar w:fldCharType="begin"/>
      </w:r>
      <w:r w:rsidR="00C700AC" w:rsidRPr="00CC3E19">
        <w:rPr>
          <w:rFonts w:cs="Times New Roman"/>
          <w:szCs w:val="24"/>
        </w:rPr>
        <w:instrText xml:space="preserve"> ADDIN ZOTERO_ITEM CSL_CITATION {"citationID":"FShXUKWF","properties":{"formattedCitation":"(Klingemann, Hofferbert, and Budge 1994; Green-Pedersen 2007)","plainCitation":"(Klingemann, Hofferbert, and Budge 1994; Green-Pedersen 2007)"},"citationItems":[{"id":181,"uris":["http://zotero.org/users/local/7eX6MhG9/items/CZDDTW9I"],"uri":["http://zotero.org/users/local/7eX6MhG9/items/CZDDTW9I"],"itemData":{"id":181,"type":"book","title":"Parties, Policies, and Democracy","publisher":"Westview","publisher-place":"Boulder","event-place":"Boulder","author":[{"family":"Klingemann","given":"Hans-Dieter"},{"family":"Hofferbert","given":"Richard"},{"family":"Budge","given":"Ian"}],"issued":{"date-parts":[["1994"]]}}},{"id":29,"uris":["http://zotero.org/users/local/7eX6MhG9/items/5AWTS4GM"],"uri":["http://zotero.org/users/local/7eX6MhG9/items/5AWTS4GM"],"itemData":{"id":29,"type":"article-journal","title":"The growing importance of Issues","container-title":"Political Studies","page":"608–628","volume":"55","issue":"4","author":[{"family":"Green-Pedersen","given":"Christoffer"}],"issued":{"date-parts":[["2007"]]}}}],"schema":"https://github.com/citation-style-language/schema/raw/master/csl-citation.json"} </w:instrText>
      </w:r>
      <w:r w:rsidRPr="00CC3E19">
        <w:rPr>
          <w:rFonts w:cs="Times New Roman"/>
          <w:szCs w:val="24"/>
        </w:rPr>
        <w:fldChar w:fldCharType="separate"/>
      </w:r>
      <w:r w:rsidR="00513DA0" w:rsidRPr="00CC3E19">
        <w:rPr>
          <w:rFonts w:cs="Times New Roman"/>
          <w:szCs w:val="24"/>
        </w:rPr>
        <w:t>(Klingemann, Hofferbert, and Budge 1994; Green-Pedersen 2007)</w:t>
      </w:r>
      <w:r w:rsidRPr="00CC3E19">
        <w:rPr>
          <w:rFonts w:cs="Times New Roman"/>
          <w:szCs w:val="24"/>
        </w:rPr>
        <w:fldChar w:fldCharType="end"/>
      </w:r>
      <w:r w:rsidRPr="00CC3E19">
        <w:rPr>
          <w:rFonts w:cs="Times New Roman"/>
          <w:szCs w:val="24"/>
        </w:rPr>
        <w:t xml:space="preserve">. </w:t>
      </w:r>
      <w:r w:rsidR="008E14FC">
        <w:rPr>
          <w:rFonts w:cs="Times New Roman"/>
          <w:szCs w:val="24"/>
        </w:rPr>
        <w:t xml:space="preserve">Issue ownership is distinctive and can be used to mobilize voters. </w:t>
      </w:r>
      <w:r w:rsidR="005D0F4A">
        <w:rPr>
          <w:rFonts w:cs="Times New Roman"/>
          <w:szCs w:val="24"/>
        </w:rPr>
        <w:t>Hence, p</w:t>
      </w:r>
      <w:r w:rsidR="00BF0CDC" w:rsidRPr="00CC3E19">
        <w:rPr>
          <w:rFonts w:cs="Times New Roman"/>
          <w:szCs w:val="24"/>
        </w:rPr>
        <w:t xml:space="preserve">arties can take advantage of issue ownership </w:t>
      </w:r>
      <w:r w:rsidR="00EC1479">
        <w:rPr>
          <w:rFonts w:cs="Times New Roman"/>
          <w:szCs w:val="24"/>
        </w:rPr>
        <w:t xml:space="preserve">in their competition for </w:t>
      </w:r>
      <w:r w:rsidR="00BF0CDC" w:rsidRPr="00CC3E19">
        <w:rPr>
          <w:rFonts w:cs="Times New Roman"/>
          <w:szCs w:val="24"/>
        </w:rPr>
        <w:t>voters, but will also be constrained by issue ownership in the sense that strategies have to be put together around issue ownership</w:t>
      </w:r>
      <w:r w:rsidR="008E14FC">
        <w:rPr>
          <w:rFonts w:cs="Times New Roman"/>
          <w:szCs w:val="24"/>
        </w:rPr>
        <w:t>.</w:t>
      </w:r>
    </w:p>
    <w:p w:rsidR="00557807" w:rsidRPr="00CC3E19" w:rsidRDefault="007B7BB7" w:rsidP="00CC3E19">
      <w:pPr>
        <w:ind w:firstLine="720"/>
        <w:rPr>
          <w:rFonts w:cs="Times New Roman"/>
          <w:b/>
          <w:szCs w:val="24"/>
        </w:rPr>
      </w:pPr>
      <w:r w:rsidRPr="00CC3E19">
        <w:rPr>
          <w:rFonts w:cs="Times New Roman"/>
          <w:szCs w:val="24"/>
        </w:rPr>
        <w:t>The data in this paper not only allows a more accurate use of issue ownership to study party and voting behavior</w:t>
      </w:r>
      <w:r w:rsidR="00B4769B" w:rsidRPr="00CC3E19">
        <w:rPr>
          <w:rFonts w:cs="Times New Roman"/>
          <w:szCs w:val="24"/>
        </w:rPr>
        <w:t xml:space="preserve"> across countries and time</w:t>
      </w:r>
      <w:r w:rsidRPr="00CC3E19">
        <w:rPr>
          <w:rFonts w:cs="Times New Roman"/>
          <w:szCs w:val="24"/>
        </w:rPr>
        <w:t xml:space="preserve">, </w:t>
      </w:r>
      <w:r w:rsidR="00E5258F" w:rsidRPr="00CC3E19">
        <w:rPr>
          <w:rFonts w:cs="Times New Roman"/>
          <w:szCs w:val="24"/>
        </w:rPr>
        <w:t>its general scope</w:t>
      </w:r>
      <w:r w:rsidRPr="00CC3E19">
        <w:rPr>
          <w:rFonts w:cs="Times New Roman"/>
          <w:szCs w:val="24"/>
        </w:rPr>
        <w:t xml:space="preserve"> also opens up opportunities to advance insights on issue ownership. </w:t>
      </w:r>
      <w:r w:rsidR="006E5D53" w:rsidRPr="00CC3E19">
        <w:rPr>
          <w:rFonts w:cs="Times New Roman"/>
          <w:szCs w:val="24"/>
        </w:rPr>
        <w:t xml:space="preserve">An important challenge is to </w:t>
      </w:r>
      <w:r w:rsidRPr="00CC3E19">
        <w:rPr>
          <w:rFonts w:cs="Times New Roman"/>
          <w:szCs w:val="24"/>
        </w:rPr>
        <w:t xml:space="preserve">gain a stronger account of the forces </w:t>
      </w:r>
      <w:r w:rsidR="00567934" w:rsidRPr="00CC3E19">
        <w:rPr>
          <w:rFonts w:cs="Times New Roman"/>
          <w:szCs w:val="24"/>
        </w:rPr>
        <w:t xml:space="preserve">upholding </w:t>
      </w:r>
      <w:r w:rsidRPr="00CC3E19">
        <w:rPr>
          <w:rFonts w:cs="Times New Roman"/>
          <w:szCs w:val="24"/>
        </w:rPr>
        <w:t xml:space="preserve">the general pattern of issue ownership </w:t>
      </w:r>
      <w:r w:rsidR="006E5D53" w:rsidRPr="00CC3E19">
        <w:rPr>
          <w:rFonts w:cs="Times New Roman"/>
          <w:szCs w:val="24"/>
        </w:rPr>
        <w:t xml:space="preserve">across time </w:t>
      </w:r>
      <w:r w:rsidR="00567934" w:rsidRPr="00CC3E19">
        <w:rPr>
          <w:rFonts w:cs="Times New Roman"/>
          <w:szCs w:val="24"/>
        </w:rPr>
        <w:t xml:space="preserve">and </w:t>
      </w:r>
      <w:r w:rsidR="006E5D53" w:rsidRPr="00CC3E19">
        <w:rPr>
          <w:rFonts w:cs="Times New Roman"/>
          <w:szCs w:val="24"/>
        </w:rPr>
        <w:t>across countries</w:t>
      </w:r>
      <w:r w:rsidRPr="00CC3E19">
        <w:rPr>
          <w:rFonts w:cs="Times New Roman"/>
          <w:szCs w:val="24"/>
        </w:rPr>
        <w:t>.</w:t>
      </w:r>
      <w:r w:rsidR="00AA298C" w:rsidRPr="00CC3E19">
        <w:rPr>
          <w:rFonts w:cs="Times New Roman"/>
          <w:szCs w:val="24"/>
        </w:rPr>
        <w:t xml:space="preserve"> One way forward is to </w:t>
      </w:r>
      <w:r w:rsidR="00561C01" w:rsidRPr="00CC3E19">
        <w:rPr>
          <w:rFonts w:cs="Times New Roman"/>
          <w:szCs w:val="24"/>
        </w:rPr>
        <w:t xml:space="preserve">comparatively </w:t>
      </w:r>
      <w:r w:rsidR="00AA298C" w:rsidRPr="00CC3E19">
        <w:rPr>
          <w:rFonts w:cs="Times New Roman"/>
          <w:szCs w:val="24"/>
        </w:rPr>
        <w:t xml:space="preserve">investigate variation </w:t>
      </w:r>
      <w:r w:rsidR="00583B8F" w:rsidRPr="00CC3E19">
        <w:rPr>
          <w:rFonts w:cs="Times New Roman"/>
          <w:szCs w:val="24"/>
        </w:rPr>
        <w:t xml:space="preserve">in stability </w:t>
      </w:r>
      <w:r w:rsidR="00AA298C" w:rsidRPr="00CC3E19">
        <w:rPr>
          <w:rFonts w:cs="Times New Roman"/>
          <w:szCs w:val="24"/>
        </w:rPr>
        <w:t>underlying the general findings presented in this paper:</w:t>
      </w:r>
      <w:r w:rsidRPr="00CC3E19">
        <w:rPr>
          <w:rFonts w:cs="Times New Roman"/>
          <w:szCs w:val="24"/>
        </w:rPr>
        <w:t xml:space="preserve"> </w:t>
      </w:r>
      <w:r w:rsidR="00E22990" w:rsidRPr="00CC3E19">
        <w:rPr>
          <w:rFonts w:cs="Times New Roman"/>
          <w:szCs w:val="24"/>
        </w:rPr>
        <w:t>W</w:t>
      </w:r>
      <w:r w:rsidRPr="00CC3E19">
        <w:rPr>
          <w:rFonts w:cs="Times New Roman"/>
          <w:szCs w:val="24"/>
        </w:rPr>
        <w:t xml:space="preserve">hy </w:t>
      </w:r>
      <w:r w:rsidR="00567934" w:rsidRPr="00CC3E19">
        <w:rPr>
          <w:rFonts w:cs="Times New Roman"/>
          <w:szCs w:val="24"/>
        </w:rPr>
        <w:t>is</w:t>
      </w:r>
      <w:r w:rsidR="00431B94">
        <w:rPr>
          <w:rFonts w:cs="Times New Roman"/>
          <w:szCs w:val="24"/>
        </w:rPr>
        <w:t xml:space="preserve"> issue</w:t>
      </w:r>
      <w:r w:rsidR="00567934" w:rsidRPr="00CC3E19">
        <w:rPr>
          <w:rFonts w:cs="Times New Roman"/>
          <w:szCs w:val="24"/>
        </w:rPr>
        <w:t xml:space="preserve"> </w:t>
      </w:r>
      <w:r w:rsidR="002744D0" w:rsidRPr="00CC3E19">
        <w:rPr>
          <w:rFonts w:cs="Times New Roman"/>
          <w:szCs w:val="24"/>
        </w:rPr>
        <w:t xml:space="preserve">ownership of </w:t>
      </w:r>
      <w:r w:rsidRPr="00CC3E19">
        <w:rPr>
          <w:rFonts w:cs="Times New Roman"/>
          <w:szCs w:val="24"/>
        </w:rPr>
        <w:t xml:space="preserve">some issues </w:t>
      </w:r>
      <w:r w:rsidR="00567934" w:rsidRPr="00CC3E19">
        <w:rPr>
          <w:rFonts w:cs="Times New Roman"/>
          <w:szCs w:val="24"/>
        </w:rPr>
        <w:t>easier to uphold</w:t>
      </w:r>
      <w:r w:rsidRPr="00CC3E19">
        <w:rPr>
          <w:rFonts w:cs="Times New Roman"/>
          <w:szCs w:val="24"/>
        </w:rPr>
        <w:t>?</w:t>
      </w:r>
      <w:r w:rsidR="00E22990" w:rsidRPr="00CC3E19">
        <w:rPr>
          <w:rFonts w:cs="Times New Roman"/>
          <w:szCs w:val="24"/>
        </w:rPr>
        <w:t xml:space="preserve"> Why are some issue ownerships </w:t>
      </w:r>
      <w:r w:rsidR="002744D0" w:rsidRPr="00CC3E19">
        <w:rPr>
          <w:rFonts w:cs="Times New Roman"/>
          <w:szCs w:val="24"/>
        </w:rPr>
        <w:t xml:space="preserve">particularly similar </w:t>
      </w:r>
      <w:r w:rsidR="00E22990" w:rsidRPr="00CC3E19">
        <w:rPr>
          <w:rFonts w:cs="Times New Roman"/>
          <w:szCs w:val="24"/>
        </w:rPr>
        <w:t>across countries?</w:t>
      </w:r>
      <w:r w:rsidRPr="00CC3E19">
        <w:rPr>
          <w:rFonts w:cs="Times New Roman"/>
          <w:szCs w:val="24"/>
        </w:rPr>
        <w:t xml:space="preserve"> Although research on issue ownership has been </w:t>
      </w:r>
      <w:r w:rsidR="00FE3C1F" w:rsidRPr="00CC3E19">
        <w:rPr>
          <w:rFonts w:cs="Times New Roman"/>
          <w:szCs w:val="24"/>
        </w:rPr>
        <w:t xml:space="preserve">conducted </w:t>
      </w:r>
      <w:r w:rsidR="0088229B" w:rsidRPr="00CC3E19">
        <w:rPr>
          <w:rFonts w:cs="Times New Roman"/>
          <w:szCs w:val="24"/>
        </w:rPr>
        <w:t xml:space="preserve">for </w:t>
      </w:r>
      <w:r w:rsidRPr="00CC3E19">
        <w:rPr>
          <w:rFonts w:cs="Times New Roman"/>
          <w:szCs w:val="24"/>
        </w:rPr>
        <w:t>decades and has flourished recently, this paper shows that there is still a lot to be learned.</w:t>
      </w:r>
    </w:p>
    <w:p w:rsidR="00557807" w:rsidRPr="00CC3E19" w:rsidRDefault="00557807" w:rsidP="00CC3E19">
      <w:pPr>
        <w:jc w:val="both"/>
        <w:rPr>
          <w:rFonts w:cs="Times New Roman"/>
          <w:b/>
          <w:szCs w:val="24"/>
        </w:rPr>
      </w:pPr>
    </w:p>
    <w:p w:rsidR="005348F6" w:rsidRDefault="005348F6">
      <w:pPr>
        <w:spacing w:after="200" w:line="276" w:lineRule="auto"/>
        <w:rPr>
          <w:rFonts w:cs="Times New Roman"/>
          <w:b/>
          <w:szCs w:val="24"/>
        </w:rPr>
      </w:pPr>
      <w:r>
        <w:rPr>
          <w:rFonts w:cs="Times New Roman"/>
          <w:b/>
          <w:szCs w:val="24"/>
        </w:rPr>
        <w:br w:type="page"/>
      </w:r>
    </w:p>
    <w:p w:rsidR="001522D4" w:rsidRPr="00CC3E19" w:rsidRDefault="00FE566B" w:rsidP="00B24052">
      <w:pPr>
        <w:jc w:val="both"/>
        <w:rPr>
          <w:rFonts w:cs="Times New Roman"/>
          <w:szCs w:val="24"/>
        </w:rPr>
      </w:pPr>
      <w:r w:rsidRPr="00CC3E19">
        <w:rPr>
          <w:rFonts w:cs="Times New Roman"/>
          <w:b/>
          <w:szCs w:val="24"/>
        </w:rPr>
        <w:t>References</w:t>
      </w:r>
    </w:p>
    <w:p w:rsidR="00251144" w:rsidRDefault="00BA7F71" w:rsidP="00B24052">
      <w:pPr>
        <w:pStyle w:val="Bibliografi"/>
        <w:spacing w:line="480" w:lineRule="auto"/>
      </w:pPr>
      <w:r w:rsidRPr="00CC3E19">
        <w:fldChar w:fldCharType="begin"/>
      </w:r>
      <w:r w:rsidR="003D7104">
        <w:instrText xml:space="preserve"> ADDIN ZOTERO_BIBL {"custom":[]} CSL_BIBLIOGRAPHY </w:instrText>
      </w:r>
      <w:r w:rsidRPr="00CC3E19">
        <w:fldChar w:fldCharType="separate"/>
      </w:r>
      <w:r w:rsidR="00251144">
        <w:t xml:space="preserve">Adams, James, and Zeynep Somer-Topcu. 2009. “Do Parties Adjust Their Policies in Response to Rival Parties’ Policy Shifts? Spatial Theory and the Dynamics of Party Competition in Twenty-Five Democracies.” </w:t>
      </w:r>
      <w:r w:rsidR="00251144">
        <w:rPr>
          <w:i/>
          <w:iCs/>
        </w:rPr>
        <w:t>British Journal of Political Science</w:t>
      </w:r>
      <w:r w:rsidR="00251144">
        <w:t xml:space="preserve"> 39 (4): 825–46.</w:t>
      </w:r>
    </w:p>
    <w:p w:rsidR="00251144" w:rsidRDefault="00251144" w:rsidP="00B24052">
      <w:pPr>
        <w:pStyle w:val="Bibliografi"/>
        <w:spacing w:line="480" w:lineRule="auto"/>
      </w:pPr>
      <w:r>
        <w:t xml:space="preserve">Andersen, Jørgen. 2003. “The General Election in Denmark, November 2001.” </w:t>
      </w:r>
      <w:r>
        <w:rPr>
          <w:i/>
          <w:iCs/>
        </w:rPr>
        <w:t>Electoral Studies</w:t>
      </w:r>
      <w:r>
        <w:t xml:space="preserve"> 22 (1): 186–93. </w:t>
      </w:r>
    </w:p>
    <w:p w:rsidR="00251144" w:rsidRDefault="00251144" w:rsidP="00B24052">
      <w:pPr>
        <w:pStyle w:val="Bibliografi"/>
        <w:spacing w:line="480" w:lineRule="auto"/>
      </w:pPr>
      <w:r>
        <w:t xml:space="preserve">Arndt, Christoph. 2014. “Beating Social Democracy on Its Own Turf: Issue Convergence as Winning Formula for the Centre-Right in Universal Welfare States.” </w:t>
      </w:r>
      <w:r>
        <w:rPr>
          <w:i/>
          <w:iCs/>
        </w:rPr>
        <w:t>Scandinavian Political Studies</w:t>
      </w:r>
      <w:r>
        <w:t xml:space="preserve"> 37 (2): 149–70.</w:t>
      </w:r>
    </w:p>
    <w:p w:rsidR="00251144" w:rsidRDefault="00251144" w:rsidP="00B24052">
      <w:pPr>
        <w:pStyle w:val="Bibliografi"/>
        <w:spacing w:line="480" w:lineRule="auto"/>
      </w:pPr>
      <w:r>
        <w:t>Bale, T</w:t>
      </w:r>
      <w:r w:rsidR="007D6692">
        <w:t>im</w:t>
      </w:r>
      <w:r>
        <w:t xml:space="preserve"> 2003. “Cinderella and Her Ugly Sisters: The Mainstream and Extreme Right in Europe’s Bipolarising Party Systems.” </w:t>
      </w:r>
      <w:r>
        <w:rPr>
          <w:i/>
          <w:iCs/>
        </w:rPr>
        <w:t>West European Politics</w:t>
      </w:r>
      <w:r>
        <w:t xml:space="preserve"> 26 (3): 67–90.</w:t>
      </w:r>
    </w:p>
    <w:p w:rsidR="00251144" w:rsidRDefault="00251144" w:rsidP="00B24052">
      <w:pPr>
        <w:pStyle w:val="Bibliografi"/>
        <w:spacing w:line="480" w:lineRule="auto"/>
      </w:pPr>
      <w:r>
        <w:t xml:space="preserve">Baumgartner, Frank, Bryan Jones, and John Wilkerson. 2011. “Comparative Studies of Policy Dynamics.” </w:t>
      </w:r>
      <w:r>
        <w:rPr>
          <w:i/>
          <w:iCs/>
        </w:rPr>
        <w:t>Comparative Political Studies</w:t>
      </w:r>
      <w:r>
        <w:t xml:space="preserve"> 44 (8): 947–72.</w:t>
      </w:r>
    </w:p>
    <w:p w:rsidR="00251144" w:rsidRDefault="00251144" w:rsidP="00B24052">
      <w:pPr>
        <w:pStyle w:val="Bibliografi"/>
        <w:spacing w:line="480" w:lineRule="auto"/>
      </w:pPr>
      <w:r>
        <w:t xml:space="preserve">Belanger, Eric. 2003. “”Issue Ownership by Canadian Political Parties 1953-2001”.” </w:t>
      </w:r>
      <w:r>
        <w:rPr>
          <w:i/>
          <w:iCs/>
        </w:rPr>
        <w:t>Canadian Journal of Political Science</w:t>
      </w:r>
      <w:r>
        <w:t xml:space="preserve"> 36 (3): 539–58.</w:t>
      </w:r>
    </w:p>
    <w:p w:rsidR="00251144" w:rsidRDefault="00251144" w:rsidP="00B24052">
      <w:pPr>
        <w:pStyle w:val="Bibliografi"/>
        <w:spacing w:line="480" w:lineRule="auto"/>
      </w:pPr>
      <w:r>
        <w:t xml:space="preserve">Blomqvist, Paula, and Christoffer Green-Pedersen. 2004. “Defeat at Home? Issue-Ownership and Social Democratic Support in Scandinavia.” </w:t>
      </w:r>
      <w:r>
        <w:rPr>
          <w:i/>
          <w:iCs/>
        </w:rPr>
        <w:t>Government and Opposition</w:t>
      </w:r>
      <w:r>
        <w:t xml:space="preserve"> 39 (4): 587–613.</w:t>
      </w:r>
    </w:p>
    <w:p w:rsidR="00251144" w:rsidRDefault="00251144" w:rsidP="00B24052">
      <w:pPr>
        <w:pStyle w:val="Bibliografi"/>
        <w:spacing w:line="480" w:lineRule="auto"/>
      </w:pPr>
      <w:r>
        <w:t xml:space="preserve">Brasher, Holly. 2009. “The Dynamic Character of Political Party Evaluations.” </w:t>
      </w:r>
      <w:r>
        <w:rPr>
          <w:i/>
          <w:iCs/>
        </w:rPr>
        <w:t>Party Politics</w:t>
      </w:r>
      <w:r>
        <w:t xml:space="preserve"> 15 (1): 69–92.</w:t>
      </w:r>
    </w:p>
    <w:p w:rsidR="00251144" w:rsidRDefault="00251144" w:rsidP="00B24052">
      <w:pPr>
        <w:pStyle w:val="Bibliografi"/>
        <w:spacing w:line="480" w:lineRule="auto"/>
      </w:pPr>
      <w:r>
        <w:t xml:space="preserve">Budge, Ian. 1994. “A New Spatial Theory of Party Competition: Uncertainty, Ideology, and Policy Equilibria Viewed Comparatively and Temporally.” </w:t>
      </w:r>
      <w:r>
        <w:rPr>
          <w:i/>
          <w:iCs/>
        </w:rPr>
        <w:t>British Journal of Political Science</w:t>
      </w:r>
      <w:r>
        <w:t xml:space="preserve"> 24 (4): 443–67.</w:t>
      </w:r>
    </w:p>
    <w:p w:rsidR="00251144" w:rsidRDefault="00251144" w:rsidP="00B24052">
      <w:pPr>
        <w:pStyle w:val="Bibliografi"/>
        <w:spacing w:line="480" w:lineRule="auto"/>
      </w:pPr>
      <w:r>
        <w:t xml:space="preserve">Budge, Ian, and Dennis Farlie. 1983. “Party Competition. Selective Emphasis or Direct Confrontation? An Alternative View with Data.” In </w:t>
      </w:r>
      <w:r>
        <w:rPr>
          <w:i/>
          <w:iCs/>
        </w:rPr>
        <w:t>West European Party Systems. Continuity &amp; Change</w:t>
      </w:r>
      <w:r>
        <w:t>, edited by Hans Daalder and Peter Mair. London: Sage Publications.</w:t>
      </w:r>
    </w:p>
    <w:p w:rsidR="00251144" w:rsidRDefault="00251144" w:rsidP="00B24052">
      <w:pPr>
        <w:pStyle w:val="Bibliografi"/>
        <w:spacing w:line="480" w:lineRule="auto"/>
      </w:pPr>
      <w:r>
        <w:t xml:space="preserve">Busemeyer, Marius, Simon Franzmann, and Julian Garritzmann. 2013. “Who Owns Education? Cleavage Structures in the Partisan Competition over Educational Expansion.” </w:t>
      </w:r>
      <w:r>
        <w:rPr>
          <w:i/>
          <w:iCs/>
        </w:rPr>
        <w:t>West European Politics</w:t>
      </w:r>
      <w:r>
        <w:t xml:space="preserve"> 36 (3): 521–46. </w:t>
      </w:r>
    </w:p>
    <w:p w:rsidR="00251144" w:rsidRDefault="00251144" w:rsidP="00B24052">
      <w:pPr>
        <w:pStyle w:val="Bibliografi"/>
        <w:spacing w:line="480" w:lineRule="auto"/>
      </w:pPr>
      <w:r>
        <w:t xml:space="preserve">Camp, Kirsten, Stefaan Walgrave, Jonas Lefevere, and Anke Tresch. 2014. “Measuring Issue Ownership. A Question Wording Experiment.” </w:t>
      </w:r>
      <w:r>
        <w:rPr>
          <w:i/>
          <w:iCs/>
        </w:rPr>
        <w:t>Manuscript</w:t>
      </w:r>
      <w:r>
        <w:t>.</w:t>
      </w:r>
    </w:p>
    <w:p w:rsidR="00251144" w:rsidRDefault="00251144" w:rsidP="00B24052">
      <w:pPr>
        <w:pStyle w:val="Bibliografi"/>
        <w:spacing w:line="480" w:lineRule="auto"/>
      </w:pPr>
      <w:r>
        <w:t xml:space="preserve">Carmines, Edward. 1991. “The Logic of Party Alignments.” </w:t>
      </w:r>
      <w:r>
        <w:rPr>
          <w:i/>
          <w:iCs/>
        </w:rPr>
        <w:t>Journal of Theoretical Politics</w:t>
      </w:r>
      <w:r>
        <w:t xml:space="preserve"> 3 (1): 65–80.</w:t>
      </w:r>
    </w:p>
    <w:p w:rsidR="00251144" w:rsidRDefault="00251144" w:rsidP="00B24052">
      <w:pPr>
        <w:pStyle w:val="Bibliografi"/>
        <w:spacing w:line="480" w:lineRule="auto"/>
      </w:pPr>
      <w:r>
        <w:t xml:space="preserve">Clarke, Harold, David Sanders, Marianne Stewart, and Paul Whiteley. 2009. </w:t>
      </w:r>
      <w:r>
        <w:rPr>
          <w:i/>
          <w:iCs/>
        </w:rPr>
        <w:t>Performance Politics and the British Voter</w:t>
      </w:r>
      <w:r>
        <w:t>. Cambridge: Cambridge University Press.</w:t>
      </w:r>
    </w:p>
    <w:p w:rsidR="00251144" w:rsidRDefault="00251144" w:rsidP="00B24052">
      <w:pPr>
        <w:pStyle w:val="Bibliografi"/>
        <w:spacing w:line="480" w:lineRule="auto"/>
      </w:pPr>
      <w:r>
        <w:t xml:space="preserve">Dahlberg, Stefan, and Johan Martinsson. 2015. “Changing Issue Ownership through Policy Communication.” </w:t>
      </w:r>
      <w:r>
        <w:rPr>
          <w:i/>
          <w:iCs/>
        </w:rPr>
        <w:t>West European Politics</w:t>
      </w:r>
      <w:r>
        <w:t xml:space="preserve"> 38 (4): 817–38.</w:t>
      </w:r>
    </w:p>
    <w:p w:rsidR="00251144" w:rsidRDefault="00251144" w:rsidP="00B24052">
      <w:pPr>
        <w:pStyle w:val="Bibliografi"/>
        <w:spacing w:line="480" w:lineRule="auto"/>
      </w:pPr>
      <w:r>
        <w:t xml:space="preserve">Dalton, Russell, and Martin Wattenberg. 2002. </w:t>
      </w:r>
      <w:r>
        <w:rPr>
          <w:i/>
          <w:iCs/>
        </w:rPr>
        <w:t>Parties without Partisans</w:t>
      </w:r>
      <w:r>
        <w:t>. Oxford: Oxford University Press.</w:t>
      </w:r>
    </w:p>
    <w:p w:rsidR="00251144" w:rsidRDefault="00251144" w:rsidP="00B24052">
      <w:pPr>
        <w:pStyle w:val="Bibliografi"/>
        <w:spacing w:line="480" w:lineRule="auto"/>
      </w:pPr>
      <w:r>
        <w:t xml:space="preserve">Damore, David. 2004. “The Dynamics of Issue Ownerships in Presidential Campaigns.” </w:t>
      </w:r>
      <w:r>
        <w:rPr>
          <w:i/>
          <w:iCs/>
        </w:rPr>
        <w:t>Political Research Quarterly</w:t>
      </w:r>
      <w:r>
        <w:t xml:space="preserve"> 57: 391–97.</w:t>
      </w:r>
    </w:p>
    <w:p w:rsidR="00251144" w:rsidRDefault="00251144" w:rsidP="00B24052">
      <w:pPr>
        <w:pStyle w:val="Bibliografi"/>
        <w:spacing w:line="480" w:lineRule="auto"/>
      </w:pPr>
      <w:r>
        <w:t xml:space="preserve">Davidsson, Johan, and Paul Marx. 2013. “Losing the Issue, Losing the Vote: Issue Competition and the Reform of Unemployment Insurance in Germany and Sweden.” </w:t>
      </w:r>
      <w:r>
        <w:rPr>
          <w:i/>
          <w:iCs/>
        </w:rPr>
        <w:t>Political Studies</w:t>
      </w:r>
      <w:r>
        <w:t xml:space="preserve"> 61 (3): 505–22.</w:t>
      </w:r>
    </w:p>
    <w:p w:rsidR="00251144" w:rsidRDefault="00251144" w:rsidP="00B24052">
      <w:pPr>
        <w:pStyle w:val="Bibliografi"/>
        <w:spacing w:line="480" w:lineRule="auto"/>
      </w:pPr>
      <w:r>
        <w:t xml:space="preserve">Dolezal, Martin, Laurenz Ensser-Jedenastik, Wolfgang Muller, and Anna Winkler. 2013. “How Parties Compete for Votes: A Test of Saliency Theory.” </w:t>
      </w:r>
      <w:r>
        <w:rPr>
          <w:i/>
          <w:iCs/>
        </w:rPr>
        <w:t>European Journal of Political Research</w:t>
      </w:r>
      <w:r>
        <w:t xml:space="preserve"> 53 (1): 57–76.</w:t>
      </w:r>
    </w:p>
    <w:p w:rsidR="00251144" w:rsidRDefault="00251144" w:rsidP="00B24052">
      <w:pPr>
        <w:pStyle w:val="Bibliografi"/>
        <w:spacing w:line="480" w:lineRule="auto"/>
      </w:pPr>
      <w:r>
        <w:t xml:space="preserve">Downs, Anthony. 1957. </w:t>
      </w:r>
      <w:r>
        <w:rPr>
          <w:i/>
          <w:iCs/>
        </w:rPr>
        <w:t>An Economic Theory of Democracy</w:t>
      </w:r>
      <w:r>
        <w:t>. New York: Harper.</w:t>
      </w:r>
    </w:p>
    <w:p w:rsidR="00251144" w:rsidRDefault="00251144" w:rsidP="00B24052">
      <w:pPr>
        <w:pStyle w:val="Bibliografi"/>
        <w:spacing w:line="480" w:lineRule="auto"/>
      </w:pPr>
      <w:r>
        <w:t xml:space="preserve">Egan, Patrick. 2013. </w:t>
      </w:r>
      <w:r>
        <w:rPr>
          <w:i/>
          <w:iCs/>
        </w:rPr>
        <w:t>Partisan Priorties. How Issue Ownership Drives and Distorts American Politics</w:t>
      </w:r>
      <w:r>
        <w:t>. Cambridge: Cambridge University Press.</w:t>
      </w:r>
    </w:p>
    <w:p w:rsidR="00251144" w:rsidRDefault="00251144" w:rsidP="00B24052">
      <w:pPr>
        <w:pStyle w:val="Bibliografi"/>
        <w:spacing w:line="480" w:lineRule="auto"/>
      </w:pPr>
      <w:r>
        <w:t xml:space="preserve">Green, Jane, and Sara Hobolt. 2007. “Owning the Issue Agenda: Party Strategies and Vote Choices in British Elections.” </w:t>
      </w:r>
      <w:r>
        <w:rPr>
          <w:i/>
          <w:iCs/>
        </w:rPr>
        <w:t>Electoral Studies</w:t>
      </w:r>
      <w:r>
        <w:t xml:space="preserve"> 27: 460–76.</w:t>
      </w:r>
    </w:p>
    <w:p w:rsidR="00251144" w:rsidRDefault="00251144" w:rsidP="00B24052">
      <w:pPr>
        <w:pStyle w:val="Bibliografi"/>
        <w:spacing w:line="480" w:lineRule="auto"/>
      </w:pPr>
      <w:r>
        <w:t xml:space="preserve">Green, Jane, and Will Jennings. 2012. “Valence as Macro-Competence: An Analysis of Mood in Party Competence Evaluations in Great Britain.” </w:t>
      </w:r>
      <w:r>
        <w:rPr>
          <w:i/>
          <w:iCs/>
        </w:rPr>
        <w:t>British Journal of Political Science</w:t>
      </w:r>
      <w:r>
        <w:t xml:space="preserve"> 42 (2): 311–43.</w:t>
      </w:r>
    </w:p>
    <w:p w:rsidR="00251144" w:rsidRDefault="00251144" w:rsidP="00B24052">
      <w:pPr>
        <w:pStyle w:val="Bibliografi"/>
        <w:spacing w:line="480" w:lineRule="auto"/>
      </w:pPr>
      <w:r>
        <w:t xml:space="preserve">Green-Pedersen, Christoffer. 2007. “The Growing Importance of Issues.” </w:t>
      </w:r>
      <w:r>
        <w:rPr>
          <w:i/>
          <w:iCs/>
        </w:rPr>
        <w:t>Political Studies</w:t>
      </w:r>
      <w:r>
        <w:t xml:space="preserve"> 55 (4): 608–28.</w:t>
      </w:r>
    </w:p>
    <w:p w:rsidR="00251144" w:rsidRDefault="00251144" w:rsidP="00B24052">
      <w:pPr>
        <w:pStyle w:val="Bibliografi"/>
        <w:spacing w:line="480" w:lineRule="auto"/>
      </w:pPr>
      <w:r>
        <w:t xml:space="preserve">Hibbs, Douglas. 1977. “Political Parties and Macroeconomic Policy.” </w:t>
      </w:r>
      <w:r>
        <w:rPr>
          <w:i/>
          <w:iCs/>
        </w:rPr>
        <w:t>American Political Science Review</w:t>
      </w:r>
      <w:r>
        <w:t xml:space="preserve"> 71 (4): 1467–87.</w:t>
      </w:r>
    </w:p>
    <w:p w:rsidR="00251144" w:rsidRDefault="00251144" w:rsidP="00B24052">
      <w:pPr>
        <w:pStyle w:val="Bibliografi"/>
        <w:spacing w:line="480" w:lineRule="auto"/>
      </w:pPr>
      <w:r>
        <w:t xml:space="preserve">Holian, David. 2004. “He’s Stealing My Issues! Clinton’s Crime Rhetoric and the Dynamics of Issue Ownership.” </w:t>
      </w:r>
      <w:r>
        <w:rPr>
          <w:i/>
          <w:iCs/>
        </w:rPr>
        <w:t>Political Behavior</w:t>
      </w:r>
      <w:r>
        <w:t xml:space="preserve"> 26 (2): 95–124.</w:t>
      </w:r>
    </w:p>
    <w:p w:rsidR="00251144" w:rsidRDefault="00251144" w:rsidP="00B24052">
      <w:pPr>
        <w:pStyle w:val="Bibliografi"/>
        <w:spacing w:line="480" w:lineRule="auto"/>
      </w:pPr>
      <w:r>
        <w:t xml:space="preserve">Kersbergen, Kees van. 1995. </w:t>
      </w:r>
      <w:r>
        <w:rPr>
          <w:i/>
          <w:iCs/>
        </w:rPr>
        <w:t>Social Capitalism. A Study of Christian Democracy and the Welfare State</w:t>
      </w:r>
      <w:r>
        <w:t>. London: Routledge.</w:t>
      </w:r>
    </w:p>
    <w:p w:rsidR="00251144" w:rsidRDefault="00251144" w:rsidP="00B24052">
      <w:pPr>
        <w:pStyle w:val="Bibliografi"/>
        <w:spacing w:line="480" w:lineRule="auto"/>
      </w:pPr>
      <w:r>
        <w:t xml:space="preserve">Kleinnijenhuis, Jan, and Annemarie Walter. 2014. “News, Discussion, and Associative Issue Ownership: Instability at the Micro Level versus Stability at the Macro Level.” </w:t>
      </w:r>
      <w:r>
        <w:rPr>
          <w:i/>
          <w:iCs/>
        </w:rPr>
        <w:t>The International Journal of Press/Politics</w:t>
      </w:r>
      <w:r>
        <w:t>, February, 1–20.</w:t>
      </w:r>
    </w:p>
    <w:p w:rsidR="00251144" w:rsidRDefault="00251144" w:rsidP="00B24052">
      <w:pPr>
        <w:pStyle w:val="Bibliografi"/>
        <w:spacing w:line="480" w:lineRule="auto"/>
      </w:pPr>
      <w:r>
        <w:t xml:space="preserve">Klingemann, Hans-Dieter, Richard Hofferbert, and Ian Budge. 1994. </w:t>
      </w:r>
      <w:r>
        <w:rPr>
          <w:i/>
          <w:iCs/>
        </w:rPr>
        <w:t>Parties, Policies, and Democracy</w:t>
      </w:r>
      <w:r>
        <w:t>. Boulder: Westview.</w:t>
      </w:r>
    </w:p>
    <w:p w:rsidR="00251144" w:rsidRDefault="00251144" w:rsidP="00B24052">
      <w:pPr>
        <w:pStyle w:val="Bibliografi"/>
        <w:spacing w:line="480" w:lineRule="auto"/>
      </w:pPr>
      <w:r>
        <w:t xml:space="preserve">Lefevere, Jonas, Anke Tresch, and Stefaan Walgrave. 2015. “Introduction: Issue Ownership.” </w:t>
      </w:r>
      <w:r>
        <w:rPr>
          <w:i/>
          <w:iCs/>
        </w:rPr>
        <w:t>West European Politics</w:t>
      </w:r>
      <w:r>
        <w:t xml:space="preserve"> 38 (4): 755–60.</w:t>
      </w:r>
    </w:p>
    <w:p w:rsidR="00251144" w:rsidRDefault="00251144" w:rsidP="00B24052">
      <w:pPr>
        <w:pStyle w:val="Bibliografi"/>
        <w:spacing w:line="480" w:lineRule="auto"/>
      </w:pPr>
      <w:r>
        <w:t xml:space="preserve">Meguid, Bonnie. 2008. “Competition between Unequals: The Role of Mainstream Party Strategy in Niche Party Success.” </w:t>
      </w:r>
      <w:r>
        <w:rPr>
          <w:i/>
          <w:iCs/>
        </w:rPr>
        <w:t>American Political Science Review</w:t>
      </w:r>
      <w:r>
        <w:t xml:space="preserve"> 99 (3): 347–59.</w:t>
      </w:r>
    </w:p>
    <w:p w:rsidR="00251144" w:rsidRDefault="00251144" w:rsidP="00B24052">
      <w:pPr>
        <w:pStyle w:val="Bibliografi"/>
        <w:spacing w:line="480" w:lineRule="auto"/>
      </w:pPr>
      <w:r>
        <w:t xml:space="preserve">Meguid, Bonnie, and Eric Belanger. 2008. “Issue Salience, Issue Ownership and Issue-Based Vote Choice.” </w:t>
      </w:r>
      <w:r>
        <w:rPr>
          <w:i/>
          <w:iCs/>
        </w:rPr>
        <w:t>Electoral Studies</w:t>
      </w:r>
      <w:r>
        <w:t xml:space="preserve"> 27 (3): 477–91.</w:t>
      </w:r>
    </w:p>
    <w:p w:rsidR="00251144" w:rsidRDefault="00251144" w:rsidP="00B24052">
      <w:pPr>
        <w:pStyle w:val="Bibliografi"/>
        <w:spacing w:line="480" w:lineRule="auto"/>
      </w:pPr>
      <w:r>
        <w:t xml:space="preserve">Norpoth, Helmut, and Bruce Buchanan. 1992. “Wanted: The Education President. Issue Tresspassing by Political Candidates.” </w:t>
      </w:r>
      <w:r>
        <w:rPr>
          <w:i/>
          <w:iCs/>
        </w:rPr>
        <w:t>Public Opinion Quarterly</w:t>
      </w:r>
      <w:r>
        <w:t xml:space="preserve"> 56 (1): 87–99.</w:t>
      </w:r>
    </w:p>
    <w:p w:rsidR="00251144" w:rsidRDefault="00251144" w:rsidP="00B24052">
      <w:pPr>
        <w:pStyle w:val="Bibliografi"/>
        <w:spacing w:line="480" w:lineRule="auto"/>
      </w:pPr>
      <w:r>
        <w:t xml:space="preserve">Petrocik, John. 1996. “Issue Ownership in Presidential Elections, with a 1980 Case Study.” </w:t>
      </w:r>
      <w:r>
        <w:rPr>
          <w:i/>
          <w:iCs/>
        </w:rPr>
        <w:t>American Journal of Political Science</w:t>
      </w:r>
      <w:r>
        <w:t xml:space="preserve"> 40 (3): 825–50.</w:t>
      </w:r>
    </w:p>
    <w:p w:rsidR="00251144" w:rsidRDefault="00251144" w:rsidP="00B24052">
      <w:pPr>
        <w:pStyle w:val="Bibliografi"/>
        <w:spacing w:line="480" w:lineRule="auto"/>
      </w:pPr>
      <w:r>
        <w:t xml:space="preserve">Pope, Jeremy, and Jonathan Woon. 2009. “Measuring Changes in American Party Reputations, 1939-2004.” </w:t>
      </w:r>
      <w:r>
        <w:rPr>
          <w:i/>
          <w:iCs/>
        </w:rPr>
        <w:t>Political Research Quarterly</w:t>
      </w:r>
      <w:r>
        <w:t xml:space="preserve"> 62 (4): 653–61.</w:t>
      </w:r>
    </w:p>
    <w:p w:rsidR="00251144" w:rsidRDefault="00251144" w:rsidP="00B24052">
      <w:pPr>
        <w:pStyle w:val="Bibliografi"/>
        <w:spacing w:line="480" w:lineRule="auto"/>
      </w:pPr>
      <w:r>
        <w:t xml:space="preserve">Riker, William. 1996. </w:t>
      </w:r>
      <w:r>
        <w:rPr>
          <w:i/>
          <w:iCs/>
        </w:rPr>
        <w:t>The Strategy of Rhetoric. Campaigning for the American Constitution</w:t>
      </w:r>
      <w:r>
        <w:t>. New Haven: Yale University Press.</w:t>
      </w:r>
    </w:p>
    <w:p w:rsidR="00251144" w:rsidRDefault="00251144" w:rsidP="00B24052">
      <w:pPr>
        <w:pStyle w:val="Bibliografi"/>
        <w:spacing w:line="480" w:lineRule="auto"/>
      </w:pPr>
      <w:r>
        <w:t xml:space="preserve">Robertson, David. 1976. </w:t>
      </w:r>
      <w:r>
        <w:rPr>
          <w:i/>
          <w:iCs/>
        </w:rPr>
        <w:t>A Theory of Party Competition</w:t>
      </w:r>
      <w:r>
        <w:t>. London: Wiley.</w:t>
      </w:r>
    </w:p>
    <w:p w:rsidR="00251144" w:rsidRDefault="00251144" w:rsidP="00B24052">
      <w:pPr>
        <w:pStyle w:val="Bibliografi"/>
        <w:spacing w:line="480" w:lineRule="auto"/>
      </w:pPr>
      <w:r>
        <w:t xml:space="preserve">Schattschneider, Elmer. 1960. </w:t>
      </w:r>
      <w:r>
        <w:rPr>
          <w:i/>
          <w:iCs/>
        </w:rPr>
        <w:t>The Semisovereign People</w:t>
      </w:r>
      <w:r>
        <w:t>. New York: Hold, Rinehart, and Winston.</w:t>
      </w:r>
    </w:p>
    <w:p w:rsidR="00251144" w:rsidRDefault="00251144" w:rsidP="00B24052">
      <w:pPr>
        <w:pStyle w:val="Bibliografi"/>
        <w:spacing w:line="480" w:lineRule="auto"/>
      </w:pPr>
      <w:r>
        <w:t xml:space="preserve">Spoon, Jae-Jae, Sara Hobolt, and Cathrine De Vries. 2013. “Going Green: Explaining Issue Competition on the Environment.” </w:t>
      </w:r>
      <w:r>
        <w:rPr>
          <w:i/>
          <w:iCs/>
        </w:rPr>
        <w:t>European Journal of Political Research</w:t>
      </w:r>
      <w:r>
        <w:t>.</w:t>
      </w:r>
    </w:p>
    <w:p w:rsidR="00251144" w:rsidRDefault="00251144" w:rsidP="00B24052">
      <w:pPr>
        <w:pStyle w:val="Bibliografi"/>
        <w:spacing w:line="480" w:lineRule="auto"/>
      </w:pPr>
      <w:r>
        <w:t xml:space="preserve">Stubager, Rune, and Rune Slothuus. 2013. “What Are the Sources of Political Parties’ Issue Ownership? Testing Four Explanations at the Individual Level.” </w:t>
      </w:r>
      <w:r>
        <w:rPr>
          <w:i/>
          <w:iCs/>
        </w:rPr>
        <w:t>Political Behavior</w:t>
      </w:r>
      <w:r>
        <w:t xml:space="preserve"> 35 (3): 567–88.</w:t>
      </w:r>
    </w:p>
    <w:p w:rsidR="00251144" w:rsidRDefault="00251144" w:rsidP="00B24052">
      <w:pPr>
        <w:pStyle w:val="Bibliografi"/>
        <w:spacing w:line="480" w:lineRule="auto"/>
      </w:pPr>
      <w:r>
        <w:t xml:space="preserve">Taggart, Paul. 1998. “A Touchstone of Dissent: Euroscepticism in Contemporary Western European Party Systems.” </w:t>
      </w:r>
      <w:r>
        <w:rPr>
          <w:i/>
          <w:iCs/>
        </w:rPr>
        <w:t>European Journal of Political Research</w:t>
      </w:r>
      <w:r>
        <w:t xml:space="preserve"> 33 (3): 363–88.</w:t>
      </w:r>
    </w:p>
    <w:p w:rsidR="00251144" w:rsidRDefault="00251144" w:rsidP="00B24052">
      <w:pPr>
        <w:pStyle w:val="Bibliografi"/>
        <w:spacing w:line="480" w:lineRule="auto"/>
      </w:pPr>
      <w:r>
        <w:t xml:space="preserve">Therriault, Andrew. 2015. “Whose Issue Is It Anyway? A New Look at the Meaning and Measurement of Issue Ownership.” </w:t>
      </w:r>
      <w:r>
        <w:rPr>
          <w:i/>
          <w:iCs/>
        </w:rPr>
        <w:t>British Journal of Political Science</w:t>
      </w:r>
      <w:r>
        <w:t xml:space="preserve"> 45 (4): 929–38.</w:t>
      </w:r>
    </w:p>
    <w:p w:rsidR="00251144" w:rsidRDefault="00251144" w:rsidP="00B24052">
      <w:pPr>
        <w:pStyle w:val="Bibliografi"/>
        <w:spacing w:line="480" w:lineRule="auto"/>
      </w:pPr>
      <w:r>
        <w:t xml:space="preserve">Tresch, Anke, Jonas Lefevere, and Stefaan Walgrave. 2012. “Steal Me If You Can! The Impact of Campaign Messages on Associative Issue Ownership’.” </w:t>
      </w:r>
      <w:r>
        <w:rPr>
          <w:i/>
          <w:iCs/>
        </w:rPr>
        <w:t>Party Politics</w:t>
      </w:r>
      <w:r>
        <w:t xml:space="preserve"> 30.</w:t>
      </w:r>
    </w:p>
    <w:p w:rsidR="00251144" w:rsidRDefault="00251144" w:rsidP="00B24052">
      <w:pPr>
        <w:pStyle w:val="Bibliografi"/>
        <w:spacing w:line="480" w:lineRule="auto"/>
      </w:pPr>
      <w:r>
        <w:t xml:space="preserve">van der Brug, Wouter. 2004. “Issue Ownership and Party Choice.” </w:t>
      </w:r>
      <w:r>
        <w:rPr>
          <w:i/>
          <w:iCs/>
        </w:rPr>
        <w:t>Electoral Studies</w:t>
      </w:r>
      <w:r>
        <w:t xml:space="preserve"> 23: 209–33.</w:t>
      </w:r>
    </w:p>
    <w:p w:rsidR="00251144" w:rsidRDefault="00251144" w:rsidP="00B24052">
      <w:pPr>
        <w:pStyle w:val="Bibliografi"/>
        <w:spacing w:line="480" w:lineRule="auto"/>
      </w:pPr>
      <w:r>
        <w:t>Volkens, Andrea, Pola Lehmann, Nicolas Merz, Sven Regel, Annika Werner, and Henrike Schultze. 2014. “The Manifesto Data Collection. Manifesto Project”</w:t>
      </w:r>
      <w:r w:rsidR="007D6692">
        <w:t>,</w:t>
      </w:r>
      <w:r>
        <w:t xml:space="preserve"> Berlin: WZB.</w:t>
      </w:r>
    </w:p>
    <w:p w:rsidR="00251144" w:rsidRDefault="00251144" w:rsidP="00B24052">
      <w:pPr>
        <w:pStyle w:val="Bibliografi"/>
        <w:spacing w:line="480" w:lineRule="auto"/>
      </w:pPr>
      <w:r>
        <w:t xml:space="preserve">Walgrave, Stefaan, Jonas Lefevere, and Anke Tresch. 2012. “The Associative Dimension of Issue Ownership.” </w:t>
      </w:r>
      <w:r>
        <w:rPr>
          <w:i/>
          <w:iCs/>
        </w:rPr>
        <w:t>Public Opinion Quarterly</w:t>
      </w:r>
      <w:r>
        <w:t xml:space="preserve"> 76 (4): 771–82.</w:t>
      </w:r>
    </w:p>
    <w:p w:rsidR="00251144" w:rsidRDefault="00251144" w:rsidP="00B24052">
      <w:pPr>
        <w:pStyle w:val="Bibliografi"/>
        <w:spacing w:line="480" w:lineRule="auto"/>
      </w:pPr>
      <w:r>
        <w:t xml:space="preserve">Walgrave, Stefaan, Anke Tresch, and Jonas Lefevere. 2015. “The Conceptualisation and Measurement of Issue Ownership.” </w:t>
      </w:r>
      <w:r>
        <w:rPr>
          <w:i/>
          <w:iCs/>
        </w:rPr>
        <w:t>West European Politics</w:t>
      </w:r>
      <w:r>
        <w:t xml:space="preserve"> 38 (4): 778–96.</w:t>
      </w:r>
    </w:p>
    <w:p w:rsidR="00251144" w:rsidRDefault="00251144" w:rsidP="00B24052">
      <w:pPr>
        <w:pStyle w:val="Bibliografi"/>
        <w:spacing w:line="480" w:lineRule="auto"/>
      </w:pPr>
      <w:r>
        <w:t xml:space="preserve">Whiteley, Paul, Harold Clarke, David Sanders, and Marianne Stewart. 2013. </w:t>
      </w:r>
      <w:r>
        <w:rPr>
          <w:i/>
          <w:iCs/>
        </w:rPr>
        <w:t>Affluence, Austerity and Electoral Change in Britain</w:t>
      </w:r>
      <w:r>
        <w:t>. Cambridge University Press.</w:t>
      </w:r>
    </w:p>
    <w:p w:rsidR="00251144" w:rsidRDefault="00251144" w:rsidP="00B24052">
      <w:pPr>
        <w:pStyle w:val="Bibliografi"/>
        <w:spacing w:line="480" w:lineRule="auto"/>
      </w:pPr>
      <w:r>
        <w:t xml:space="preserve">Wright, John. 2012. “Unemployment and the Democratic Electoral Advantage.” </w:t>
      </w:r>
      <w:r>
        <w:rPr>
          <w:i/>
          <w:iCs/>
        </w:rPr>
        <w:t>American Political Science Review</w:t>
      </w:r>
      <w:r>
        <w:t xml:space="preserve"> 106 (4): 685–702.</w:t>
      </w:r>
    </w:p>
    <w:p w:rsidR="006C6523" w:rsidRDefault="00BA7F71" w:rsidP="002F76B3">
      <w:pPr>
        <w:pStyle w:val="Bibliografi"/>
        <w:spacing w:line="480" w:lineRule="auto"/>
        <w:rPr>
          <w:rFonts w:cs="Times New Roman"/>
          <w:szCs w:val="24"/>
        </w:rPr>
      </w:pPr>
      <w:r w:rsidRPr="00CC3E19">
        <w:rPr>
          <w:rFonts w:cs="Times New Roman"/>
          <w:szCs w:val="24"/>
        </w:rPr>
        <w:fldChar w:fldCharType="end"/>
      </w:r>
    </w:p>
    <w:p w:rsidR="006C6523" w:rsidRDefault="006C6523">
      <w:pPr>
        <w:spacing w:after="200" w:line="276" w:lineRule="auto"/>
        <w:rPr>
          <w:rFonts w:cs="Times New Roman"/>
          <w:szCs w:val="24"/>
        </w:rPr>
      </w:pPr>
      <w:r>
        <w:rPr>
          <w:rFonts w:cs="Times New Roman"/>
          <w:szCs w:val="24"/>
        </w:rPr>
        <w:br w:type="page"/>
      </w:r>
    </w:p>
    <w:p w:rsidR="006C6523" w:rsidRDefault="006C6523" w:rsidP="006C6523">
      <w:pPr>
        <w:spacing w:line="240" w:lineRule="auto"/>
        <w:jc w:val="both"/>
        <w:rPr>
          <w:rFonts w:cs="Times New Roman"/>
          <w:sz w:val="20"/>
          <w:szCs w:val="20"/>
        </w:rPr>
        <w:sectPr w:rsidR="006C6523" w:rsidSect="002F76B3">
          <w:footerReference w:type="default" r:id="rId8"/>
          <w:pgSz w:w="12240" w:h="15840"/>
          <w:pgMar w:top="720" w:right="1440" w:bottom="720" w:left="1440" w:header="720" w:footer="720" w:gutter="0"/>
          <w:cols w:space="720"/>
          <w:docGrid w:linePitch="326"/>
        </w:sectPr>
      </w:pPr>
    </w:p>
    <w:p w:rsidR="006C6523" w:rsidRPr="00C157CC" w:rsidRDefault="006C6523" w:rsidP="006C6523">
      <w:pPr>
        <w:spacing w:line="240" w:lineRule="auto"/>
        <w:jc w:val="both"/>
        <w:rPr>
          <w:rFonts w:cs="Times New Roman"/>
          <w:sz w:val="20"/>
          <w:szCs w:val="20"/>
        </w:rPr>
      </w:pPr>
      <w:r w:rsidRPr="00C157CC">
        <w:rPr>
          <w:rFonts w:cs="Times New Roman"/>
          <w:sz w:val="20"/>
          <w:szCs w:val="20"/>
        </w:rPr>
        <w:t>Table 1</w:t>
      </w:r>
      <w:r>
        <w:rPr>
          <w:rFonts w:cs="Times New Roman"/>
          <w:sz w:val="20"/>
          <w:szCs w:val="20"/>
        </w:rPr>
        <w:t>. Overview of data on issue ownership across countries over time.</w:t>
      </w:r>
    </w:p>
    <w:tbl>
      <w:tblPr>
        <w:tblW w:w="14835" w:type="dxa"/>
        <w:tblInd w:w="93" w:type="dxa"/>
        <w:tblCellMar>
          <w:left w:w="28" w:type="dxa"/>
          <w:right w:w="28" w:type="dxa"/>
        </w:tblCellMar>
        <w:tblLook w:val="04A0" w:firstRow="1" w:lastRow="0" w:firstColumn="1" w:lastColumn="0" w:noHBand="0" w:noVBand="1"/>
      </w:tblPr>
      <w:tblGrid>
        <w:gridCol w:w="1279"/>
        <w:gridCol w:w="1092"/>
        <w:gridCol w:w="1166"/>
        <w:gridCol w:w="1092"/>
        <w:gridCol w:w="1166"/>
        <w:gridCol w:w="1202"/>
        <w:gridCol w:w="1120"/>
        <w:gridCol w:w="1092"/>
        <w:gridCol w:w="1123"/>
        <w:gridCol w:w="1202"/>
        <w:gridCol w:w="1128"/>
        <w:gridCol w:w="1092"/>
        <w:gridCol w:w="1081"/>
      </w:tblGrid>
      <w:tr w:rsidR="006C6523" w:rsidRPr="00C157CC" w:rsidTr="0099113B">
        <w:trPr>
          <w:trHeight w:val="316"/>
        </w:trPr>
        <w:tc>
          <w:tcPr>
            <w:tcW w:w="1279"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p>
        </w:tc>
        <w:tc>
          <w:tcPr>
            <w:tcW w:w="109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sidRPr="00C157CC">
              <w:rPr>
                <w:rFonts w:eastAsia="Times New Roman" w:cs="Times New Roman"/>
                <w:b/>
                <w:bCs/>
                <w:color w:val="000000"/>
                <w:sz w:val="20"/>
                <w:szCs w:val="20"/>
              </w:rPr>
              <w:t>Econ</w:t>
            </w:r>
            <w:r>
              <w:rPr>
                <w:rFonts w:eastAsia="Times New Roman" w:cs="Times New Roman"/>
                <w:b/>
                <w:bCs/>
                <w:color w:val="000000"/>
                <w:sz w:val="20"/>
                <w:szCs w:val="20"/>
              </w:rPr>
              <w:t>omy</w:t>
            </w:r>
          </w:p>
        </w:tc>
        <w:tc>
          <w:tcPr>
            <w:tcW w:w="1166"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sidRPr="00C157CC">
              <w:rPr>
                <w:rFonts w:eastAsia="Times New Roman" w:cs="Times New Roman"/>
                <w:b/>
                <w:bCs/>
                <w:color w:val="000000"/>
                <w:sz w:val="20"/>
                <w:szCs w:val="20"/>
              </w:rPr>
              <w:t>Health</w:t>
            </w:r>
          </w:p>
        </w:tc>
        <w:tc>
          <w:tcPr>
            <w:tcW w:w="109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sidRPr="00C157CC">
              <w:rPr>
                <w:rFonts w:eastAsia="Times New Roman" w:cs="Times New Roman"/>
                <w:b/>
                <w:bCs/>
                <w:color w:val="000000"/>
                <w:sz w:val="20"/>
                <w:szCs w:val="20"/>
              </w:rPr>
              <w:t>Edu</w:t>
            </w:r>
            <w:r>
              <w:rPr>
                <w:rFonts w:eastAsia="Times New Roman" w:cs="Times New Roman"/>
                <w:b/>
                <w:bCs/>
                <w:color w:val="000000"/>
                <w:sz w:val="20"/>
                <w:szCs w:val="20"/>
              </w:rPr>
              <w:t>cation</w:t>
            </w:r>
          </w:p>
        </w:tc>
        <w:tc>
          <w:tcPr>
            <w:tcW w:w="1166"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sidRPr="00C157CC">
              <w:rPr>
                <w:rFonts w:eastAsia="Times New Roman" w:cs="Times New Roman"/>
                <w:b/>
                <w:bCs/>
                <w:color w:val="000000"/>
                <w:sz w:val="20"/>
                <w:szCs w:val="20"/>
              </w:rPr>
              <w:t>Envi</w:t>
            </w:r>
            <w:r>
              <w:rPr>
                <w:rFonts w:eastAsia="Times New Roman" w:cs="Times New Roman"/>
                <w:b/>
                <w:bCs/>
                <w:color w:val="000000"/>
                <w:sz w:val="20"/>
                <w:szCs w:val="20"/>
              </w:rPr>
              <w:t>ron</w:t>
            </w:r>
            <w:r>
              <w:rPr>
                <w:rFonts w:eastAsia="Times New Roman" w:cs="Times New Roman"/>
                <w:b/>
                <w:bCs/>
                <w:color w:val="000000"/>
                <w:sz w:val="20"/>
                <w:szCs w:val="20"/>
              </w:rPr>
              <w:softHyphen/>
              <w:t>ment</w:t>
            </w:r>
          </w:p>
        </w:tc>
        <w:tc>
          <w:tcPr>
            <w:tcW w:w="120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Pr>
                <w:rFonts w:eastAsia="Times New Roman" w:cs="Times New Roman"/>
                <w:b/>
                <w:bCs/>
                <w:color w:val="000000"/>
                <w:sz w:val="20"/>
                <w:szCs w:val="20"/>
              </w:rPr>
              <w:t>Law and Order</w:t>
            </w:r>
          </w:p>
        </w:tc>
        <w:tc>
          <w:tcPr>
            <w:tcW w:w="1120"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sidRPr="00C157CC">
              <w:rPr>
                <w:rFonts w:eastAsia="Times New Roman" w:cs="Times New Roman"/>
                <w:b/>
                <w:bCs/>
                <w:color w:val="000000"/>
                <w:sz w:val="20"/>
                <w:szCs w:val="20"/>
              </w:rPr>
              <w:t>Unempl</w:t>
            </w:r>
            <w:r>
              <w:rPr>
                <w:rFonts w:eastAsia="Times New Roman" w:cs="Times New Roman"/>
                <w:b/>
                <w:bCs/>
                <w:color w:val="000000"/>
                <w:sz w:val="20"/>
                <w:szCs w:val="20"/>
              </w:rPr>
              <w:t>oy</w:t>
            </w:r>
            <w:r>
              <w:rPr>
                <w:rFonts w:eastAsia="Times New Roman" w:cs="Times New Roman"/>
                <w:b/>
                <w:bCs/>
                <w:color w:val="000000"/>
                <w:sz w:val="20"/>
                <w:szCs w:val="20"/>
              </w:rPr>
              <w:softHyphen/>
              <w:t>ment</w:t>
            </w:r>
          </w:p>
        </w:tc>
        <w:tc>
          <w:tcPr>
            <w:tcW w:w="109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sidRPr="00C157CC">
              <w:rPr>
                <w:rFonts w:eastAsia="Times New Roman" w:cs="Times New Roman"/>
                <w:b/>
                <w:bCs/>
                <w:color w:val="000000"/>
                <w:sz w:val="20"/>
                <w:szCs w:val="20"/>
              </w:rPr>
              <w:t>Tax</w:t>
            </w:r>
          </w:p>
        </w:tc>
        <w:tc>
          <w:tcPr>
            <w:tcW w:w="1123"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Pr>
                <w:rFonts w:eastAsia="Times New Roman" w:cs="Times New Roman"/>
                <w:b/>
                <w:bCs/>
                <w:color w:val="000000"/>
                <w:sz w:val="20"/>
                <w:szCs w:val="20"/>
              </w:rPr>
              <w:t>Asylum/ immigration</w:t>
            </w:r>
          </w:p>
        </w:tc>
        <w:tc>
          <w:tcPr>
            <w:tcW w:w="120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sidRPr="00C157CC">
              <w:rPr>
                <w:rFonts w:eastAsia="Times New Roman" w:cs="Times New Roman"/>
                <w:b/>
                <w:bCs/>
                <w:color w:val="000000"/>
                <w:sz w:val="20"/>
                <w:szCs w:val="20"/>
              </w:rPr>
              <w:t>Social security</w:t>
            </w:r>
          </w:p>
        </w:tc>
        <w:tc>
          <w:tcPr>
            <w:tcW w:w="1128"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sidRPr="00C157CC">
              <w:rPr>
                <w:rFonts w:eastAsia="Times New Roman" w:cs="Times New Roman"/>
                <w:b/>
                <w:bCs/>
                <w:color w:val="000000"/>
                <w:sz w:val="20"/>
                <w:szCs w:val="20"/>
              </w:rPr>
              <w:t>Elderly care</w:t>
            </w:r>
          </w:p>
        </w:tc>
        <w:tc>
          <w:tcPr>
            <w:tcW w:w="109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sidRPr="00C157CC">
              <w:rPr>
                <w:rFonts w:eastAsia="Times New Roman" w:cs="Times New Roman"/>
                <w:b/>
                <w:bCs/>
                <w:color w:val="000000"/>
                <w:sz w:val="20"/>
                <w:szCs w:val="20"/>
              </w:rPr>
              <w:t>Fam</w:t>
            </w:r>
            <w:r>
              <w:rPr>
                <w:rFonts w:eastAsia="Times New Roman" w:cs="Times New Roman"/>
                <w:b/>
                <w:bCs/>
                <w:color w:val="000000"/>
                <w:sz w:val="20"/>
                <w:szCs w:val="20"/>
              </w:rPr>
              <w:t>ilies</w:t>
            </w:r>
          </w:p>
        </w:tc>
        <w:tc>
          <w:tcPr>
            <w:tcW w:w="1081"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b/>
                <w:bCs/>
                <w:color w:val="000000"/>
                <w:sz w:val="20"/>
                <w:szCs w:val="20"/>
              </w:rPr>
            </w:pPr>
            <w:r w:rsidRPr="00C157CC">
              <w:rPr>
                <w:rFonts w:eastAsia="Times New Roman" w:cs="Times New Roman"/>
                <w:b/>
                <w:bCs/>
                <w:color w:val="000000"/>
                <w:sz w:val="20"/>
                <w:szCs w:val="20"/>
              </w:rPr>
              <w:t>EU</w:t>
            </w:r>
          </w:p>
        </w:tc>
      </w:tr>
      <w:tr w:rsidR="006C6523" w:rsidRPr="00C157CC" w:rsidTr="0099113B">
        <w:trPr>
          <w:trHeight w:val="316"/>
        </w:trPr>
        <w:tc>
          <w:tcPr>
            <w:tcW w:w="1279"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Sweden</w:t>
            </w:r>
          </w:p>
        </w:tc>
        <w:tc>
          <w:tcPr>
            <w:tcW w:w="1092"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91-10 (6)</w:t>
            </w:r>
          </w:p>
        </w:tc>
        <w:tc>
          <w:tcPr>
            <w:tcW w:w="1166"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02-10 (3)</w:t>
            </w:r>
          </w:p>
        </w:tc>
        <w:tc>
          <w:tcPr>
            <w:tcW w:w="1092"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94-06 (4)</w:t>
            </w:r>
          </w:p>
        </w:tc>
        <w:tc>
          <w:tcPr>
            <w:tcW w:w="1166"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91-02 (4)</w:t>
            </w:r>
          </w:p>
        </w:tc>
        <w:tc>
          <w:tcPr>
            <w:tcW w:w="1202"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91-02 (4)</w:t>
            </w:r>
          </w:p>
        </w:tc>
        <w:tc>
          <w:tcPr>
            <w:tcW w:w="1120"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79-10 (8)</w:t>
            </w:r>
          </w:p>
        </w:tc>
        <w:tc>
          <w:tcPr>
            <w:tcW w:w="1092"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91-10 (6)</w:t>
            </w:r>
          </w:p>
        </w:tc>
        <w:tc>
          <w:tcPr>
            <w:tcW w:w="1123"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91-02 (4)</w:t>
            </w:r>
          </w:p>
        </w:tc>
        <w:tc>
          <w:tcPr>
            <w:tcW w:w="1202"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91-98 (3)</w:t>
            </w:r>
          </w:p>
        </w:tc>
        <w:tc>
          <w:tcPr>
            <w:tcW w:w="1128"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98-10 (4)</w:t>
            </w:r>
          </w:p>
        </w:tc>
        <w:tc>
          <w:tcPr>
            <w:tcW w:w="1092"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94-10 (5)</w:t>
            </w:r>
          </w:p>
        </w:tc>
        <w:tc>
          <w:tcPr>
            <w:tcW w:w="1081" w:type="dxa"/>
            <w:tcBorders>
              <w:top w:val="single" w:sz="4" w:space="0" w:color="auto"/>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91-02 (4)</w:t>
            </w: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Denmark</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90-11 (7)</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98-11 (5)</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01-11 (4)</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94-11 (6)</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94-11 (6)</w:t>
            </w: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90-11 (7)</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94-07 (5)</w:t>
            </w: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98-11 (5)</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90-11 (5)</w:t>
            </w: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98-11 (5)</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98-07 (4)</w:t>
            </w: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94-11 (6)</w:t>
            </w: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UK</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95-13 (13)</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90-12 (12)</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90-12 (12)</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95-98 (3)</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92-12 (11)</w:t>
            </w: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78-12 (15)</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92-12 (11)</w:t>
            </w: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04-13 (5)</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95-08 (7)</w:t>
            </w: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95-07 (7)</w:t>
            </w: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US</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90-12 (10)</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92-12 (4)</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96-12 (4)</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90-98 (5)</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90-12 (6)</w:t>
            </w: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76-12 (7)</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94-12 (3)</w:t>
            </w: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12 (1)</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92-12 (5)</w:t>
            </w: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r>
      <w:tr w:rsidR="006C6523" w:rsidRPr="00C157CC" w:rsidTr="0099113B">
        <w:trPr>
          <w:trHeight w:val="316"/>
        </w:trPr>
        <w:tc>
          <w:tcPr>
            <w:tcW w:w="1279"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Australia</w:t>
            </w:r>
          </w:p>
        </w:tc>
        <w:tc>
          <w:tcPr>
            <w:tcW w:w="1092"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93-13 (3)</w:t>
            </w:r>
          </w:p>
        </w:tc>
        <w:tc>
          <w:tcPr>
            <w:tcW w:w="1166"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90-13 (9)</w:t>
            </w:r>
          </w:p>
        </w:tc>
        <w:tc>
          <w:tcPr>
            <w:tcW w:w="1092"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90-13 (9)</w:t>
            </w:r>
          </w:p>
        </w:tc>
        <w:tc>
          <w:tcPr>
            <w:tcW w:w="1166"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90-13 (9)</w:t>
            </w:r>
          </w:p>
        </w:tc>
        <w:tc>
          <w:tcPr>
            <w:tcW w:w="1202"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93 (1)</w:t>
            </w:r>
          </w:p>
        </w:tc>
        <w:tc>
          <w:tcPr>
            <w:tcW w:w="1120"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90-10 (8)</w:t>
            </w:r>
          </w:p>
        </w:tc>
        <w:tc>
          <w:tcPr>
            <w:tcW w:w="1092"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90-13 (9)</w:t>
            </w:r>
          </w:p>
        </w:tc>
        <w:tc>
          <w:tcPr>
            <w:tcW w:w="1123"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96-13 (7)</w:t>
            </w:r>
          </w:p>
        </w:tc>
        <w:tc>
          <w:tcPr>
            <w:tcW w:w="1202"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93 (1)</w:t>
            </w:r>
          </w:p>
        </w:tc>
        <w:tc>
          <w:tcPr>
            <w:tcW w:w="1128" w:type="dxa"/>
            <w:tcBorders>
              <w:top w:val="nil"/>
              <w:left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81" w:type="dxa"/>
            <w:tcBorders>
              <w:top w:val="nil"/>
              <w:left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r>
      <w:tr w:rsidR="006C6523" w:rsidRPr="00C157CC" w:rsidTr="0099113B">
        <w:trPr>
          <w:trHeight w:val="316"/>
        </w:trPr>
        <w:tc>
          <w:tcPr>
            <w:tcW w:w="1279"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NZ</w:t>
            </w:r>
          </w:p>
        </w:tc>
        <w:tc>
          <w:tcPr>
            <w:tcW w:w="1092"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90-11 (6)</w:t>
            </w:r>
          </w:p>
        </w:tc>
        <w:tc>
          <w:tcPr>
            <w:tcW w:w="1166"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90-08 (5)</w:t>
            </w:r>
          </w:p>
        </w:tc>
        <w:tc>
          <w:tcPr>
            <w:tcW w:w="1092"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90-11 (6)</w:t>
            </w:r>
          </w:p>
        </w:tc>
        <w:tc>
          <w:tcPr>
            <w:tcW w:w="1166"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90-08 (3)</w:t>
            </w:r>
          </w:p>
        </w:tc>
        <w:tc>
          <w:tcPr>
            <w:tcW w:w="1202"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90-08 (6)</w:t>
            </w:r>
          </w:p>
        </w:tc>
        <w:tc>
          <w:tcPr>
            <w:tcW w:w="1120"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90-08 (3)</w:t>
            </w:r>
          </w:p>
        </w:tc>
        <w:tc>
          <w:tcPr>
            <w:tcW w:w="1092"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99-05 (2)</w:t>
            </w:r>
          </w:p>
        </w:tc>
        <w:tc>
          <w:tcPr>
            <w:tcW w:w="1123" w:type="dxa"/>
            <w:tcBorders>
              <w:top w:val="nil"/>
              <w:left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90-05 (4)</w:t>
            </w:r>
          </w:p>
        </w:tc>
        <w:tc>
          <w:tcPr>
            <w:tcW w:w="1202" w:type="dxa"/>
            <w:tcBorders>
              <w:top w:val="nil"/>
              <w:left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8" w:type="dxa"/>
            <w:tcBorders>
              <w:top w:val="nil"/>
              <w:left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81" w:type="dxa"/>
            <w:tcBorders>
              <w:top w:val="nil"/>
              <w:left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r>
      <w:tr w:rsidR="006C6523" w:rsidRPr="00C157CC" w:rsidTr="0099113B">
        <w:trPr>
          <w:trHeight w:val="316"/>
        </w:trPr>
        <w:tc>
          <w:tcPr>
            <w:tcW w:w="1279" w:type="dxa"/>
            <w:tcBorders>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Norway</w:t>
            </w:r>
          </w:p>
        </w:tc>
        <w:tc>
          <w:tcPr>
            <w:tcW w:w="1092" w:type="dxa"/>
            <w:tcBorders>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66" w:type="dxa"/>
            <w:tcBorders>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01-05 (2)</w:t>
            </w:r>
          </w:p>
        </w:tc>
        <w:tc>
          <w:tcPr>
            <w:tcW w:w="1092" w:type="dxa"/>
            <w:tcBorders>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01-09 (3)</w:t>
            </w:r>
          </w:p>
        </w:tc>
        <w:tc>
          <w:tcPr>
            <w:tcW w:w="1166" w:type="dxa"/>
            <w:tcBorders>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01-09 (3)</w:t>
            </w:r>
          </w:p>
        </w:tc>
        <w:tc>
          <w:tcPr>
            <w:tcW w:w="1202" w:type="dxa"/>
            <w:tcBorders>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0" w:type="dxa"/>
            <w:tcBorders>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01-09 (3)</w:t>
            </w:r>
          </w:p>
        </w:tc>
        <w:tc>
          <w:tcPr>
            <w:tcW w:w="1123" w:type="dxa"/>
            <w:tcBorders>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01-09 (3)</w:t>
            </w:r>
          </w:p>
        </w:tc>
        <w:tc>
          <w:tcPr>
            <w:tcW w:w="1202" w:type="dxa"/>
            <w:tcBorders>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8" w:type="dxa"/>
            <w:tcBorders>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01-09 (3)</w:t>
            </w:r>
          </w:p>
        </w:tc>
        <w:tc>
          <w:tcPr>
            <w:tcW w:w="1092" w:type="dxa"/>
            <w:tcBorders>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01-09 (3)</w:t>
            </w:r>
          </w:p>
        </w:tc>
        <w:tc>
          <w:tcPr>
            <w:tcW w:w="1081" w:type="dxa"/>
            <w:tcBorders>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01-05 (2)</w:t>
            </w: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France</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02-07 (2)</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02-07 (2)</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02-07 (2)</w:t>
            </w: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02-07 (2)</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02-07 (2)</w:t>
            </w: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02-07 (2)</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02-07 (2)</w:t>
            </w: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02-07 (2)</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Italy</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06-08 (2)</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01-06 (2)</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01-06 (2)</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01-06 (2)</w:t>
            </w: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01-08 (3)</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01-08 (3)</w:t>
            </w: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01-08 (3)</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01 (1)</w:t>
            </w: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Germany</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90-02 (3)</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02 (1)</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 (1)</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90-98 (2)</w:t>
            </w: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76-11 (16)</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98-02 (2)</w:t>
            </w: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90-05 (3)</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05 (1)</w:t>
            </w: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Switzerland</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11 (1)</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03-11 (3)</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07 (1)</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03-11 (2)</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03-11 (3)</w:t>
            </w: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11 (1)</w:t>
            </w: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03-11 (3)</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03-11 (3)</w:t>
            </w: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Canada</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08-11 (2)</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04-08 (3)</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04-08 (3)</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04-08 (2)</w:t>
            </w: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04-08 (2)</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04-06 (2)</w:t>
            </w: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04 (1)</w:t>
            </w: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Belgium</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Finland</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07 (1)</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07 (1)</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07-11 (2)</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07-11 (2)</w:t>
            </w: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07 (1)</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Netherlands</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06-10 (2)</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06 (1)</w:t>
            </w:r>
          </w:p>
        </w:tc>
        <w:tc>
          <w:tcPr>
            <w:tcW w:w="1092" w:type="dxa"/>
            <w:tcBorders>
              <w:top w:val="nil"/>
              <w:left w:val="nil"/>
              <w:bottom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166" w:type="dxa"/>
            <w:tcBorders>
              <w:top w:val="nil"/>
              <w:left w:val="nil"/>
              <w:bottom w:val="nil"/>
              <w:right w:val="nil"/>
            </w:tcBorders>
            <w:shd w:val="clear" w:color="auto" w:fill="auto"/>
            <w:noWrap/>
            <w:vAlign w:val="bottom"/>
          </w:tcPr>
          <w:p w:rsidR="006C6523" w:rsidRPr="00C157CC" w:rsidRDefault="006C6523" w:rsidP="0099113B">
            <w:pPr>
              <w:spacing w:line="240" w:lineRule="auto"/>
              <w:jc w:val="center"/>
              <w:rPr>
                <w:rFonts w:eastAsia="Times New Roman" w:cs="Times New Roman"/>
                <w:color w:val="000000"/>
                <w:sz w:val="20"/>
                <w:szCs w:val="20"/>
              </w:rPr>
            </w:pPr>
          </w:p>
        </w:tc>
        <w:tc>
          <w:tcPr>
            <w:tcW w:w="1202" w:type="dxa"/>
            <w:tcBorders>
              <w:top w:val="nil"/>
              <w:left w:val="nil"/>
              <w:bottom w:val="nil"/>
              <w:right w:val="nil"/>
            </w:tcBorders>
            <w:shd w:val="clear" w:color="auto" w:fill="auto"/>
            <w:noWrap/>
            <w:vAlign w:val="bottom"/>
          </w:tcPr>
          <w:p w:rsidR="006C6523" w:rsidRPr="00C157CC" w:rsidRDefault="006C6523" w:rsidP="0099113B">
            <w:pPr>
              <w:spacing w:line="240" w:lineRule="auto"/>
              <w:jc w:val="center"/>
              <w:rPr>
                <w:rFonts w:eastAsia="Times New Roman" w:cs="Times New Roman"/>
                <w:color w:val="000000"/>
                <w:sz w:val="20"/>
                <w:szCs w:val="20"/>
              </w:rPr>
            </w:pPr>
          </w:p>
        </w:tc>
        <w:tc>
          <w:tcPr>
            <w:tcW w:w="1120" w:type="dxa"/>
            <w:tcBorders>
              <w:top w:val="nil"/>
              <w:left w:val="nil"/>
              <w:bottom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06-10 (2)</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06 (1)</w:t>
            </w: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06-10 (2)</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Austria</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r>
      <w:tr w:rsidR="006C6523" w:rsidRPr="00C157CC" w:rsidTr="0099113B">
        <w:trPr>
          <w:trHeight w:val="316"/>
        </w:trPr>
        <w:tc>
          <w:tcPr>
            <w:tcW w:w="1279"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Ireland</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66"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09 (1)</w:t>
            </w:r>
          </w:p>
        </w:tc>
        <w:tc>
          <w:tcPr>
            <w:tcW w:w="1120"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3"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20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128"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92"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c>
          <w:tcPr>
            <w:tcW w:w="1081" w:type="dxa"/>
            <w:tcBorders>
              <w:top w:val="nil"/>
              <w:left w:val="nil"/>
              <w:bottom w:val="nil"/>
              <w:right w:val="nil"/>
            </w:tcBorders>
            <w:shd w:val="clear" w:color="auto" w:fill="auto"/>
            <w:noWrap/>
            <w:vAlign w:val="bottom"/>
            <w:hideMark/>
          </w:tcPr>
          <w:p w:rsidR="006C6523" w:rsidRPr="00C157CC" w:rsidRDefault="006C6523" w:rsidP="0099113B">
            <w:pPr>
              <w:spacing w:line="240" w:lineRule="auto"/>
              <w:jc w:val="center"/>
              <w:rPr>
                <w:rFonts w:eastAsia="Times New Roman" w:cs="Times New Roman"/>
                <w:color w:val="000000"/>
                <w:sz w:val="20"/>
                <w:szCs w:val="20"/>
              </w:rPr>
            </w:pPr>
          </w:p>
        </w:tc>
      </w:tr>
      <w:tr w:rsidR="006C6523" w:rsidRPr="00C157CC" w:rsidTr="0099113B">
        <w:trPr>
          <w:trHeight w:val="316"/>
        </w:trPr>
        <w:tc>
          <w:tcPr>
            <w:tcW w:w="1279"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TOTAL</w:t>
            </w:r>
          </w:p>
        </w:tc>
        <w:tc>
          <w:tcPr>
            <w:tcW w:w="109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90-13 (58)</w:t>
            </w:r>
          </w:p>
        </w:tc>
        <w:tc>
          <w:tcPr>
            <w:tcW w:w="1166"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90-13 (52)</w:t>
            </w:r>
          </w:p>
        </w:tc>
        <w:tc>
          <w:tcPr>
            <w:tcW w:w="109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90-13 (48)</w:t>
            </w:r>
          </w:p>
        </w:tc>
        <w:tc>
          <w:tcPr>
            <w:tcW w:w="1166"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90-13 (43)</w:t>
            </w:r>
          </w:p>
        </w:tc>
        <w:tc>
          <w:tcPr>
            <w:tcW w:w="120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90-12 (47)</w:t>
            </w:r>
          </w:p>
        </w:tc>
        <w:tc>
          <w:tcPr>
            <w:tcW w:w="1120"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76-12 (76)</w:t>
            </w:r>
          </w:p>
        </w:tc>
        <w:tc>
          <w:tcPr>
            <w:tcW w:w="109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90-13 (50)</w:t>
            </w:r>
          </w:p>
        </w:tc>
        <w:tc>
          <w:tcPr>
            <w:tcW w:w="1123"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90-13 (44)</w:t>
            </w:r>
          </w:p>
        </w:tc>
        <w:tc>
          <w:tcPr>
            <w:tcW w:w="120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90-12 (20)</w:t>
            </w:r>
          </w:p>
        </w:tc>
        <w:tc>
          <w:tcPr>
            <w:tcW w:w="1128"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98-11 (17)</w:t>
            </w:r>
          </w:p>
        </w:tc>
        <w:tc>
          <w:tcPr>
            <w:tcW w:w="1092"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94-10 (21)</w:t>
            </w:r>
          </w:p>
        </w:tc>
        <w:tc>
          <w:tcPr>
            <w:tcW w:w="1081" w:type="dxa"/>
            <w:tcBorders>
              <w:top w:val="single" w:sz="4" w:space="0" w:color="auto"/>
              <w:left w:val="nil"/>
              <w:bottom w:val="single" w:sz="4" w:space="0" w:color="auto"/>
              <w:right w:val="nil"/>
            </w:tcBorders>
            <w:shd w:val="clear" w:color="auto" w:fill="auto"/>
            <w:noWrap/>
            <w:vAlign w:val="bottom"/>
            <w:hideMark/>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91-11 (23)</w:t>
            </w:r>
          </w:p>
        </w:tc>
      </w:tr>
      <w:tr w:rsidR="006C6523" w:rsidRPr="00C157CC" w:rsidTr="006C6523">
        <w:trPr>
          <w:trHeight w:val="237"/>
        </w:trPr>
        <w:tc>
          <w:tcPr>
            <w:tcW w:w="1279" w:type="dxa"/>
            <w:tcBorders>
              <w:top w:val="single" w:sz="4" w:space="0" w:color="auto"/>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Countries (#)</w:t>
            </w:r>
          </w:p>
        </w:tc>
        <w:tc>
          <w:tcPr>
            <w:tcW w:w="1092"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166"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092"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166"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202"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120"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092"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123"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202"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128"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092"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c>
          <w:tcPr>
            <w:tcW w:w="1081"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p>
        </w:tc>
      </w:tr>
      <w:tr w:rsidR="006C6523" w:rsidRPr="00C157CC" w:rsidTr="0099113B">
        <w:trPr>
          <w:trHeight w:val="359"/>
        </w:trPr>
        <w:tc>
          <w:tcPr>
            <w:tcW w:w="1279" w:type="dxa"/>
            <w:tcBorders>
              <w:top w:val="single" w:sz="4" w:space="0" w:color="auto"/>
              <w:left w:val="nil"/>
              <w:right w:val="nil"/>
            </w:tcBorders>
            <w:shd w:val="clear" w:color="auto" w:fill="auto"/>
            <w:noWrap/>
            <w:vAlign w:val="bottom"/>
          </w:tcPr>
          <w:p w:rsidR="006C6523" w:rsidRPr="00C157CC" w:rsidRDefault="006C6523" w:rsidP="0099113B">
            <w:pPr>
              <w:spacing w:line="240" w:lineRule="auto"/>
              <w:ind w:left="87"/>
              <w:rPr>
                <w:rFonts w:eastAsia="Times New Roman" w:cs="Times New Roman"/>
                <w:color w:val="000000"/>
                <w:sz w:val="20"/>
                <w:szCs w:val="20"/>
              </w:rPr>
            </w:pPr>
            <w:r>
              <w:rPr>
                <w:rFonts w:eastAsia="Times New Roman" w:cs="Times New Roman"/>
                <w:color w:val="000000"/>
                <w:sz w:val="20"/>
                <w:szCs w:val="20"/>
              </w:rPr>
              <w:t>Full model</w:t>
            </w:r>
          </w:p>
        </w:tc>
        <w:tc>
          <w:tcPr>
            <w:tcW w:w="109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14 (58)</w:t>
            </w:r>
          </w:p>
        </w:tc>
        <w:tc>
          <w:tcPr>
            <w:tcW w:w="1166"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14 (52)</w:t>
            </w:r>
          </w:p>
        </w:tc>
        <w:tc>
          <w:tcPr>
            <w:tcW w:w="109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10 (48)</w:t>
            </w:r>
          </w:p>
        </w:tc>
        <w:tc>
          <w:tcPr>
            <w:tcW w:w="1166"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13 (43)</w:t>
            </w:r>
          </w:p>
        </w:tc>
        <w:tc>
          <w:tcPr>
            <w:tcW w:w="120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13 (47)</w:t>
            </w:r>
          </w:p>
        </w:tc>
        <w:tc>
          <w:tcPr>
            <w:tcW w:w="1120"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13 (76)</w:t>
            </w:r>
          </w:p>
        </w:tc>
        <w:tc>
          <w:tcPr>
            <w:tcW w:w="109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13 (50)</w:t>
            </w:r>
          </w:p>
        </w:tc>
        <w:tc>
          <w:tcPr>
            <w:tcW w:w="1123"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14 (44)</w:t>
            </w:r>
          </w:p>
        </w:tc>
        <w:tc>
          <w:tcPr>
            <w:tcW w:w="120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8 (20)</w:t>
            </w:r>
          </w:p>
        </w:tc>
        <w:tc>
          <w:tcPr>
            <w:tcW w:w="1128"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6 (17)</w:t>
            </w:r>
          </w:p>
        </w:tc>
        <w:tc>
          <w:tcPr>
            <w:tcW w:w="109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5 (21)</w:t>
            </w:r>
          </w:p>
        </w:tc>
        <w:tc>
          <w:tcPr>
            <w:tcW w:w="1081"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Pr>
                <w:rFonts w:eastAsia="Times New Roman" w:cs="Times New Roman"/>
                <w:color w:val="000000"/>
                <w:sz w:val="20"/>
                <w:szCs w:val="20"/>
              </w:rPr>
              <w:t>6 (23)</w:t>
            </w:r>
          </w:p>
        </w:tc>
      </w:tr>
      <w:tr w:rsidR="006C6523" w:rsidRPr="00C157CC" w:rsidTr="0099113B">
        <w:trPr>
          <w:trHeight w:val="270"/>
        </w:trPr>
        <w:tc>
          <w:tcPr>
            <w:tcW w:w="1279" w:type="dxa"/>
            <w:tcBorders>
              <w:left w:val="nil"/>
              <w:right w:val="nil"/>
            </w:tcBorders>
            <w:shd w:val="clear" w:color="auto" w:fill="auto"/>
            <w:noWrap/>
            <w:vAlign w:val="bottom"/>
          </w:tcPr>
          <w:p w:rsidR="006C6523" w:rsidRPr="00C157CC" w:rsidRDefault="006C6523" w:rsidP="0099113B">
            <w:pPr>
              <w:spacing w:line="240" w:lineRule="auto"/>
              <w:ind w:left="87"/>
              <w:rPr>
                <w:rFonts w:eastAsia="Times New Roman" w:cs="Times New Roman"/>
                <w:color w:val="000000"/>
                <w:sz w:val="20"/>
                <w:szCs w:val="20"/>
              </w:rPr>
            </w:pPr>
            <w:r w:rsidRPr="00C157CC">
              <w:rPr>
                <w:rFonts w:eastAsia="Times New Roman" w:cs="Times New Roman"/>
                <w:color w:val="000000"/>
                <w:sz w:val="20"/>
                <w:szCs w:val="20"/>
              </w:rPr>
              <w:t>Cross-country</w:t>
            </w:r>
          </w:p>
        </w:tc>
        <w:tc>
          <w:tcPr>
            <w:tcW w:w="109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14 (38)</w:t>
            </w:r>
          </w:p>
        </w:tc>
        <w:tc>
          <w:tcPr>
            <w:tcW w:w="1166"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14 (36)</w:t>
            </w:r>
          </w:p>
        </w:tc>
        <w:tc>
          <w:tcPr>
            <w:tcW w:w="109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10 (29)</w:t>
            </w:r>
          </w:p>
        </w:tc>
        <w:tc>
          <w:tcPr>
            <w:tcW w:w="1166"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10 (23)</w:t>
            </w:r>
          </w:p>
        </w:tc>
        <w:tc>
          <w:tcPr>
            <w:tcW w:w="120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11 (26)</w:t>
            </w:r>
          </w:p>
        </w:tc>
        <w:tc>
          <w:tcPr>
            <w:tcW w:w="1120"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13 (35)</w:t>
            </w:r>
          </w:p>
        </w:tc>
        <w:tc>
          <w:tcPr>
            <w:tcW w:w="109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13 (32)</w:t>
            </w:r>
          </w:p>
        </w:tc>
        <w:tc>
          <w:tcPr>
            <w:tcW w:w="1123"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14 (33)</w:t>
            </w:r>
          </w:p>
        </w:tc>
        <w:tc>
          <w:tcPr>
            <w:tcW w:w="120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6 (10)</w:t>
            </w:r>
          </w:p>
        </w:tc>
        <w:tc>
          <w:tcPr>
            <w:tcW w:w="1128"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6 (15)</w:t>
            </w:r>
          </w:p>
        </w:tc>
        <w:tc>
          <w:tcPr>
            <w:tcW w:w="1092"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5 (14)</w:t>
            </w:r>
          </w:p>
        </w:tc>
        <w:tc>
          <w:tcPr>
            <w:tcW w:w="1081" w:type="dxa"/>
            <w:tcBorders>
              <w:left w:val="nil"/>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6 (15)</w:t>
            </w:r>
          </w:p>
        </w:tc>
      </w:tr>
      <w:tr w:rsidR="006C6523" w:rsidRPr="00C157CC" w:rsidTr="0099113B">
        <w:trPr>
          <w:trHeight w:val="261"/>
        </w:trPr>
        <w:tc>
          <w:tcPr>
            <w:tcW w:w="1279"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ind w:left="87"/>
              <w:rPr>
                <w:rFonts w:eastAsia="Times New Roman" w:cs="Times New Roman"/>
                <w:color w:val="000000"/>
                <w:sz w:val="20"/>
                <w:szCs w:val="20"/>
              </w:rPr>
            </w:pPr>
            <w:r w:rsidRPr="00C157CC">
              <w:rPr>
                <w:rFonts w:eastAsia="Times New Roman" w:cs="Times New Roman"/>
                <w:color w:val="000000"/>
                <w:sz w:val="20"/>
                <w:szCs w:val="20"/>
              </w:rPr>
              <w:t>Cross-Time</w:t>
            </w:r>
          </w:p>
        </w:tc>
        <w:tc>
          <w:tcPr>
            <w:tcW w:w="1092"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7 (48)</w:t>
            </w:r>
          </w:p>
        </w:tc>
        <w:tc>
          <w:tcPr>
            <w:tcW w:w="1166"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8 (44)</w:t>
            </w:r>
          </w:p>
        </w:tc>
        <w:tc>
          <w:tcPr>
            <w:tcW w:w="1092"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7 (42)</w:t>
            </w:r>
          </w:p>
        </w:tc>
        <w:tc>
          <w:tcPr>
            <w:tcW w:w="1166"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 (37)</w:t>
            </w:r>
          </w:p>
        </w:tc>
        <w:tc>
          <w:tcPr>
            <w:tcW w:w="1202"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7 (38)</w:t>
            </w:r>
          </w:p>
        </w:tc>
        <w:tc>
          <w:tcPr>
            <w:tcW w:w="1120"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8 (67)</w:t>
            </w:r>
          </w:p>
        </w:tc>
        <w:tc>
          <w:tcPr>
            <w:tcW w:w="1092"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8 (42)</w:t>
            </w:r>
          </w:p>
        </w:tc>
        <w:tc>
          <w:tcPr>
            <w:tcW w:w="1123"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9 (37)</w:t>
            </w:r>
          </w:p>
        </w:tc>
        <w:tc>
          <w:tcPr>
            <w:tcW w:w="1202"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3 (13)</w:t>
            </w:r>
          </w:p>
        </w:tc>
        <w:tc>
          <w:tcPr>
            <w:tcW w:w="1128"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3 (12)</w:t>
            </w:r>
          </w:p>
        </w:tc>
        <w:tc>
          <w:tcPr>
            <w:tcW w:w="1092"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4 (19)</w:t>
            </w:r>
          </w:p>
        </w:tc>
        <w:tc>
          <w:tcPr>
            <w:tcW w:w="1081" w:type="dxa"/>
            <w:tcBorders>
              <w:left w:val="nil"/>
              <w:bottom w:val="single" w:sz="4" w:space="0" w:color="auto"/>
              <w:right w:val="nil"/>
            </w:tcBorders>
            <w:shd w:val="clear" w:color="auto" w:fill="auto"/>
            <w:noWrap/>
            <w:vAlign w:val="bottom"/>
          </w:tcPr>
          <w:p w:rsidR="006C6523" w:rsidRPr="00C157CC" w:rsidRDefault="006C6523" w:rsidP="0099113B">
            <w:pPr>
              <w:spacing w:line="240" w:lineRule="auto"/>
              <w:rPr>
                <w:rFonts w:eastAsia="Times New Roman" w:cs="Times New Roman"/>
                <w:color w:val="000000"/>
                <w:sz w:val="20"/>
                <w:szCs w:val="20"/>
              </w:rPr>
            </w:pPr>
            <w:r w:rsidRPr="00C157CC">
              <w:rPr>
                <w:rFonts w:eastAsia="Times New Roman" w:cs="Times New Roman"/>
                <w:color w:val="000000"/>
                <w:sz w:val="20"/>
                <w:szCs w:val="20"/>
              </w:rPr>
              <w:t>4 (20)</w:t>
            </w:r>
          </w:p>
        </w:tc>
      </w:tr>
    </w:tbl>
    <w:p w:rsidR="0099113B" w:rsidRDefault="006C6523" w:rsidP="006C6523">
      <w:pPr>
        <w:spacing w:line="240" w:lineRule="auto"/>
        <w:rPr>
          <w:rFonts w:cs="Times New Roman"/>
          <w:sz w:val="20"/>
          <w:szCs w:val="20"/>
        </w:rPr>
      </w:pPr>
      <w:r>
        <w:rPr>
          <w:rFonts w:cs="Times New Roman"/>
          <w:sz w:val="20"/>
          <w:szCs w:val="20"/>
        </w:rPr>
        <w:t>Note. Cell entries are the time interval in which data on issue ownership is available</w:t>
      </w:r>
      <w:r>
        <w:rPr>
          <w:rFonts w:cs="Times New Roman"/>
          <w:szCs w:val="24"/>
        </w:rPr>
        <w:t xml:space="preserve"> </w:t>
      </w:r>
      <w:r w:rsidRPr="00C157CC">
        <w:rPr>
          <w:rFonts w:cs="Times New Roman"/>
          <w:sz w:val="20"/>
          <w:szCs w:val="20"/>
        </w:rPr>
        <w:t xml:space="preserve">for the </w:t>
      </w:r>
      <w:r>
        <w:rPr>
          <w:rFonts w:cs="Times New Roman"/>
          <w:sz w:val="20"/>
          <w:szCs w:val="20"/>
        </w:rPr>
        <w:t>country on that issue. The brackets report a count of the time points for analysis</w:t>
      </w:r>
      <w:r w:rsidR="0099113B">
        <w:rPr>
          <w:rFonts w:cs="Times New Roman"/>
          <w:sz w:val="20"/>
          <w:szCs w:val="20"/>
        </w:rPr>
        <w:t>.</w:t>
      </w:r>
    </w:p>
    <w:p w:rsidR="0099113B" w:rsidRDefault="0099113B">
      <w:pPr>
        <w:spacing w:after="200" w:line="276" w:lineRule="auto"/>
        <w:rPr>
          <w:rFonts w:cs="Times New Roman"/>
          <w:sz w:val="20"/>
          <w:szCs w:val="20"/>
        </w:rPr>
      </w:pPr>
      <w:r>
        <w:rPr>
          <w:rFonts w:cs="Times New Roman"/>
          <w:sz w:val="20"/>
          <w:szCs w:val="20"/>
        </w:rPr>
        <w:br w:type="page"/>
      </w:r>
    </w:p>
    <w:p w:rsidR="0099113B" w:rsidRDefault="0099113B" w:rsidP="006C6523">
      <w:pPr>
        <w:spacing w:line="240" w:lineRule="auto"/>
        <w:rPr>
          <w:rFonts w:cs="Times New Roman"/>
          <w:szCs w:val="24"/>
        </w:rPr>
        <w:sectPr w:rsidR="0099113B" w:rsidSect="006C6523">
          <w:pgSz w:w="15840" w:h="12240" w:orient="landscape"/>
          <w:pgMar w:top="1440" w:right="720" w:bottom="1440" w:left="720" w:header="720" w:footer="720" w:gutter="0"/>
          <w:cols w:space="720"/>
          <w:docGrid w:linePitch="326"/>
        </w:sectPr>
      </w:pPr>
    </w:p>
    <w:p w:rsidR="0099113B" w:rsidRDefault="0099113B" w:rsidP="006C6523">
      <w:pPr>
        <w:spacing w:line="240" w:lineRule="auto"/>
        <w:rPr>
          <w:rFonts w:cs="Times New Roman"/>
          <w:szCs w:val="24"/>
        </w:rPr>
      </w:pPr>
      <w:r>
        <w:rPr>
          <w:noProof/>
          <w:lang w:val="da-DK" w:eastAsia="da-DK"/>
        </w:rPr>
        <w:drawing>
          <wp:inline distT="0" distB="0" distL="0" distR="0" wp14:anchorId="51CE8AAC" wp14:editId="7555C54C">
            <wp:extent cx="6209414" cy="4172598"/>
            <wp:effectExtent l="0" t="0" r="127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23344" cy="4181959"/>
                    </a:xfrm>
                    <a:prstGeom prst="rect">
                      <a:avLst/>
                    </a:prstGeom>
                  </pic:spPr>
                </pic:pic>
              </a:graphicData>
            </a:graphic>
          </wp:inline>
        </w:drawing>
      </w:r>
    </w:p>
    <w:p w:rsidR="0099113B" w:rsidRDefault="0099113B">
      <w:pPr>
        <w:spacing w:after="200" w:line="276" w:lineRule="auto"/>
        <w:rPr>
          <w:rFonts w:cs="Times New Roman"/>
          <w:szCs w:val="24"/>
        </w:rPr>
      </w:pPr>
      <w:r>
        <w:rPr>
          <w:rFonts w:cs="Times New Roman"/>
          <w:szCs w:val="24"/>
        </w:rPr>
        <w:br w:type="page"/>
      </w:r>
    </w:p>
    <w:p w:rsidR="0099113B" w:rsidRDefault="0099113B" w:rsidP="006C6523">
      <w:pPr>
        <w:spacing w:line="240" w:lineRule="auto"/>
        <w:rPr>
          <w:rFonts w:cs="Times New Roman"/>
          <w:szCs w:val="24"/>
        </w:rPr>
        <w:sectPr w:rsidR="0099113B" w:rsidSect="0099113B">
          <w:pgSz w:w="12240" w:h="15840"/>
          <w:pgMar w:top="720" w:right="1440" w:bottom="720" w:left="1440" w:header="720" w:footer="720" w:gutter="0"/>
          <w:cols w:space="720"/>
          <w:docGrid w:linePitch="326"/>
        </w:sectPr>
      </w:pPr>
      <w:r>
        <w:rPr>
          <w:noProof/>
          <w:lang w:val="da-DK" w:eastAsia="da-DK"/>
        </w:rPr>
        <w:drawing>
          <wp:inline distT="0" distB="0" distL="0" distR="0" wp14:anchorId="05BC969E" wp14:editId="592BF4BE">
            <wp:extent cx="5943600" cy="4190365"/>
            <wp:effectExtent l="0" t="0" r="0" b="63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90365"/>
                    </a:xfrm>
                    <a:prstGeom prst="rect">
                      <a:avLst/>
                    </a:prstGeom>
                  </pic:spPr>
                </pic:pic>
              </a:graphicData>
            </a:graphic>
          </wp:inline>
        </w:drawing>
      </w:r>
    </w:p>
    <w:p w:rsidR="006C6523" w:rsidRPr="00CD0C96" w:rsidRDefault="006C6523" w:rsidP="006C6523">
      <w:pPr>
        <w:spacing w:line="240" w:lineRule="auto"/>
        <w:rPr>
          <w:rFonts w:cs="Times New Roman"/>
          <w:szCs w:val="24"/>
        </w:rPr>
      </w:pPr>
    </w:p>
    <w:p w:rsidR="006C6523" w:rsidRPr="0040413E" w:rsidRDefault="006C6523" w:rsidP="006C6523">
      <w:pPr>
        <w:rPr>
          <w:rFonts w:cs="Times New Roman"/>
          <w:szCs w:val="24"/>
        </w:rPr>
      </w:pPr>
      <w:r>
        <w:rPr>
          <w:noProof/>
          <w:lang w:val="da-DK" w:eastAsia="da-DK"/>
        </w:rPr>
        <mc:AlternateContent>
          <mc:Choice Requires="wps">
            <w:drawing>
              <wp:anchor distT="0" distB="0" distL="114300" distR="114300" simplePos="0" relativeHeight="251646464" behindDoc="0" locked="0" layoutInCell="1" allowOverlap="1" wp14:anchorId="58CD4E9A" wp14:editId="574D419C">
                <wp:simplePos x="0" y="0"/>
                <wp:positionH relativeFrom="column">
                  <wp:posOffset>4934205</wp:posOffset>
                </wp:positionH>
                <wp:positionV relativeFrom="paragraph">
                  <wp:posOffset>164569</wp:posOffset>
                </wp:positionV>
                <wp:extent cx="100966" cy="652518"/>
                <wp:effectExtent l="0" t="8890" r="23495" b="23495"/>
                <wp:wrapNone/>
                <wp:docPr id="8" name="Rektangel 8"/>
                <wp:cNvGraphicFramePr/>
                <a:graphic xmlns:a="http://schemas.openxmlformats.org/drawingml/2006/main">
                  <a:graphicData uri="http://schemas.microsoft.com/office/word/2010/wordprocessingShape">
                    <wps:wsp>
                      <wps:cNvSpPr/>
                      <wps:spPr>
                        <a:xfrm rot="16200000">
                          <a:off x="0" y="0"/>
                          <a:ext cx="100966" cy="6525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13B" w:rsidRDefault="0099113B" w:rsidP="006C6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D4E9A" id="Rektangel 8" o:spid="_x0000_s1026" style="position:absolute;margin-left:388.5pt;margin-top:12.95pt;width:7.95pt;height:51.4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" fillcolor="white [3212]" strokecolor="white [3212]" strokeweight="2pt">
                <v:textbox>
                  <w:txbxContent>
                    <w:p w:rsidR="0099113B" w:rsidRDefault="0099113B" w:rsidP="006C6523">
                      <w:pPr>
                        <w:jc w:val="center"/>
                      </w:pPr>
                    </w:p>
                  </w:txbxContent>
                </v:textbox>
              </v:rect>
            </w:pict>
          </mc:Fallback>
        </mc:AlternateContent>
      </w:r>
      <w:r>
        <w:rPr>
          <w:noProof/>
          <w:lang w:val="da-DK" w:eastAsia="da-DK"/>
        </w:rPr>
        <mc:AlternateContent>
          <mc:Choice Requires="wps">
            <w:drawing>
              <wp:anchor distT="0" distB="0" distL="114300" distR="114300" simplePos="0" relativeHeight="251644416" behindDoc="0" locked="0" layoutInCell="1" allowOverlap="1" wp14:anchorId="49DAEB71" wp14:editId="6E872BDC">
                <wp:simplePos x="0" y="0"/>
                <wp:positionH relativeFrom="column">
                  <wp:posOffset>1792460</wp:posOffset>
                </wp:positionH>
                <wp:positionV relativeFrom="paragraph">
                  <wp:posOffset>-1124979</wp:posOffset>
                </wp:positionV>
                <wp:extent cx="101489" cy="3122501"/>
                <wp:effectExtent l="0" t="5715" r="26670" b="26670"/>
                <wp:wrapNone/>
                <wp:docPr id="7" name="Rektangel 7"/>
                <wp:cNvGraphicFramePr/>
                <a:graphic xmlns:a="http://schemas.openxmlformats.org/drawingml/2006/main">
                  <a:graphicData uri="http://schemas.microsoft.com/office/word/2010/wordprocessingShape">
                    <wps:wsp>
                      <wps:cNvSpPr/>
                      <wps:spPr>
                        <a:xfrm rot="16200000">
                          <a:off x="0" y="0"/>
                          <a:ext cx="101489" cy="312250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13B" w:rsidRDefault="0099113B" w:rsidP="006C6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AEB71" id="Rektangel 7" o:spid="_x0000_s1027" style="position:absolute;margin-left:141.15pt;margin-top:-88.6pt;width:8pt;height:245.8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" fillcolor="white [3212]" strokecolor="white [3212]" strokeweight="2pt">
                <v:textbox>
                  <w:txbxContent>
                    <w:p w:rsidR="0099113B" w:rsidRDefault="0099113B" w:rsidP="006C6523">
                      <w:pPr>
                        <w:jc w:val="center"/>
                      </w:pPr>
                    </w:p>
                  </w:txbxContent>
                </v:textbox>
              </v:rect>
            </w:pict>
          </mc:Fallback>
        </mc:AlternateContent>
      </w:r>
      <w:r>
        <w:rPr>
          <w:noProof/>
          <w:lang w:val="da-DK" w:eastAsia="da-DK"/>
        </w:rPr>
        <mc:AlternateContent>
          <mc:Choice Requires="wps">
            <w:drawing>
              <wp:anchor distT="0" distB="0" distL="114300" distR="114300" simplePos="0" relativeHeight="251642368" behindDoc="0" locked="0" layoutInCell="1" allowOverlap="1" wp14:anchorId="52AA80A5" wp14:editId="72161F2B">
                <wp:simplePos x="0" y="0"/>
                <wp:positionH relativeFrom="column">
                  <wp:posOffset>2659698</wp:posOffset>
                </wp:positionH>
                <wp:positionV relativeFrom="paragraph">
                  <wp:posOffset>-2170417</wp:posOffset>
                </wp:positionV>
                <wp:extent cx="174515" cy="4929505"/>
                <wp:effectExtent l="3492" t="0" r="20003" b="20002"/>
                <wp:wrapNone/>
                <wp:docPr id="6" name="Rektangel 6"/>
                <wp:cNvGraphicFramePr/>
                <a:graphic xmlns:a="http://schemas.openxmlformats.org/drawingml/2006/main">
                  <a:graphicData uri="http://schemas.microsoft.com/office/word/2010/wordprocessingShape">
                    <wps:wsp>
                      <wps:cNvSpPr/>
                      <wps:spPr>
                        <a:xfrm rot="16200000">
                          <a:off x="0" y="0"/>
                          <a:ext cx="174515" cy="49295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13B" w:rsidRDefault="0099113B" w:rsidP="006C6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A80A5" id="Rektangel 6" o:spid="_x0000_s1028" style="position:absolute;margin-left:209.45pt;margin-top:-170.9pt;width:13.75pt;height:388.15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" fillcolor="white [3212]" strokecolor="white [3212]" strokeweight="2pt">
                <v:textbox>
                  <w:txbxContent>
                    <w:p w:rsidR="0099113B" w:rsidRDefault="0099113B" w:rsidP="006C6523">
                      <w:pPr>
                        <w:jc w:val="center"/>
                      </w:pPr>
                    </w:p>
                  </w:txbxContent>
                </v:textbox>
              </v:rect>
            </w:pict>
          </mc:Fallback>
        </mc:AlternateContent>
      </w:r>
      <w:r>
        <w:rPr>
          <w:noProof/>
          <w:lang w:val="da-DK" w:eastAsia="da-DK"/>
        </w:rPr>
        <mc:AlternateContent>
          <mc:Choice Requires="wps">
            <w:drawing>
              <wp:anchor distT="0" distB="0" distL="114300" distR="114300" simplePos="0" relativeHeight="251638272" behindDoc="0" locked="0" layoutInCell="1" allowOverlap="1" wp14:anchorId="55B69DAB" wp14:editId="59CB9C6F">
                <wp:simplePos x="0" y="0"/>
                <wp:positionH relativeFrom="column">
                  <wp:posOffset>5012994</wp:posOffset>
                </wp:positionH>
                <wp:positionV relativeFrom="paragraph">
                  <wp:posOffset>255905</wp:posOffset>
                </wp:positionV>
                <wp:extent cx="301625" cy="3792220"/>
                <wp:effectExtent l="0" t="0" r="22225" b="17780"/>
                <wp:wrapNone/>
                <wp:docPr id="3" name="Rektangel 3"/>
                <wp:cNvGraphicFramePr/>
                <a:graphic xmlns:a="http://schemas.openxmlformats.org/drawingml/2006/main">
                  <a:graphicData uri="http://schemas.microsoft.com/office/word/2010/wordprocessingShape">
                    <wps:wsp>
                      <wps:cNvSpPr/>
                      <wps:spPr>
                        <a:xfrm>
                          <a:off x="0" y="0"/>
                          <a:ext cx="301625" cy="3792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13B" w:rsidRDefault="0099113B" w:rsidP="006C6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69DAB" id="Rektangel 3" o:spid="_x0000_s1029" style="position:absolute;margin-left:394.7pt;margin-top:20.15pt;width:23.75pt;height:298.6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" fillcolor="white [3212]" strokecolor="white [3212]" strokeweight="2pt">
                <v:textbox>
                  <w:txbxContent>
                    <w:p w:rsidR="0099113B" w:rsidRDefault="0099113B" w:rsidP="006C6523">
                      <w:pPr>
                        <w:jc w:val="center"/>
                      </w:pPr>
                    </w:p>
                  </w:txbxContent>
                </v:textbox>
              </v:rect>
            </w:pict>
          </mc:Fallback>
        </mc:AlternateContent>
      </w:r>
      <w:r>
        <w:rPr>
          <w:noProof/>
          <w:lang w:val="da-DK" w:eastAsia="da-DK"/>
        </w:rPr>
        <mc:AlternateContent>
          <mc:Choice Requires="wps">
            <w:drawing>
              <wp:anchor distT="0" distB="0" distL="114300" distR="114300" simplePos="0" relativeHeight="251636224" behindDoc="0" locked="0" layoutInCell="1" allowOverlap="1" wp14:anchorId="733D3D11" wp14:editId="0F5CA0DA">
                <wp:simplePos x="0" y="0"/>
                <wp:positionH relativeFrom="column">
                  <wp:posOffset>-47708</wp:posOffset>
                </wp:positionH>
                <wp:positionV relativeFrom="paragraph">
                  <wp:posOffset>320040</wp:posOffset>
                </wp:positionV>
                <wp:extent cx="302150" cy="3792772"/>
                <wp:effectExtent l="0" t="0" r="22225" b="17780"/>
                <wp:wrapNone/>
                <wp:docPr id="2" name="Rektangel 2"/>
                <wp:cNvGraphicFramePr/>
                <a:graphic xmlns:a="http://schemas.openxmlformats.org/drawingml/2006/main">
                  <a:graphicData uri="http://schemas.microsoft.com/office/word/2010/wordprocessingShape">
                    <wps:wsp>
                      <wps:cNvSpPr/>
                      <wps:spPr>
                        <a:xfrm>
                          <a:off x="0" y="0"/>
                          <a:ext cx="302150" cy="37927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13B" w:rsidRDefault="0099113B" w:rsidP="006C6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D3D11" id="Rektangel 2" o:spid="_x0000_s1030" style="position:absolute;margin-left:-3.75pt;margin-top:25.2pt;width:23.8pt;height:298.6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" fillcolor="white [3212]" strokecolor="white [3212]" strokeweight="2pt">
                <v:textbox>
                  <w:txbxContent>
                    <w:p w:rsidR="0099113B" w:rsidRDefault="0099113B" w:rsidP="006C6523">
                      <w:pPr>
                        <w:jc w:val="center"/>
                      </w:pPr>
                    </w:p>
                  </w:txbxContent>
                </v:textbox>
              </v:rect>
            </w:pict>
          </mc:Fallback>
        </mc:AlternateContent>
      </w:r>
      <w:r w:rsidRPr="00E95CD3">
        <w:rPr>
          <w:rFonts w:cs="Times New Roman"/>
          <w:szCs w:val="24"/>
        </w:rPr>
        <w:t>Figure 3. Issue ownership (pct.) for each country in the 2000s.</w:t>
      </w:r>
    </w:p>
    <w:p w:rsidR="006C6523" w:rsidRDefault="006C6523" w:rsidP="006C6523">
      <w:r>
        <w:rPr>
          <w:noProof/>
          <w:lang w:val="da-DK" w:eastAsia="da-DK"/>
        </w:rPr>
        <mc:AlternateContent>
          <mc:Choice Requires="wps">
            <w:drawing>
              <wp:anchor distT="0" distB="0" distL="114300" distR="114300" simplePos="0" relativeHeight="251647488" behindDoc="0" locked="0" layoutInCell="1" allowOverlap="1" wp14:anchorId="6F937F6B" wp14:editId="088C1CDE">
                <wp:simplePos x="0" y="0"/>
                <wp:positionH relativeFrom="column">
                  <wp:posOffset>4385144</wp:posOffset>
                </wp:positionH>
                <wp:positionV relativeFrom="paragraph">
                  <wp:posOffset>120071</wp:posOffset>
                </wp:positionV>
                <wp:extent cx="100965" cy="96520"/>
                <wp:effectExtent l="2223" t="0" r="15557" b="15558"/>
                <wp:wrapNone/>
                <wp:docPr id="9" name="Rektangel 9"/>
                <wp:cNvGraphicFramePr/>
                <a:graphic xmlns:a="http://schemas.openxmlformats.org/drawingml/2006/main">
                  <a:graphicData uri="http://schemas.microsoft.com/office/word/2010/wordprocessingShape">
                    <wps:wsp>
                      <wps:cNvSpPr/>
                      <wps:spPr>
                        <a:xfrm rot="16200000">
                          <a:off x="0" y="0"/>
                          <a:ext cx="100965" cy="965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13B" w:rsidRDefault="0099113B" w:rsidP="006C6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37F6B" id="Rektangel 9" o:spid="_x0000_s1031" style="position:absolute;margin-left:345.3pt;margin-top:9.45pt;width:7.95pt;height:7.6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" fillcolor="white [3212]" strokecolor="white [3212]" strokeweight="2pt">
                <v:textbox>
                  <w:txbxContent>
                    <w:p w:rsidR="0099113B" w:rsidRDefault="0099113B" w:rsidP="006C6523">
                      <w:pPr>
                        <w:jc w:val="center"/>
                      </w:pPr>
                    </w:p>
                  </w:txbxContent>
                </v:textbox>
              </v:rect>
            </w:pict>
          </mc:Fallback>
        </mc:AlternateContent>
      </w:r>
      <w:r>
        <w:rPr>
          <w:noProof/>
          <w:lang w:val="da-DK" w:eastAsia="da-DK"/>
        </w:rPr>
        <mc:AlternateContent>
          <mc:Choice Requires="wps">
            <w:drawing>
              <wp:anchor distT="0" distB="0" distL="114300" distR="114300" simplePos="0" relativeHeight="251639296" behindDoc="0" locked="0" layoutInCell="1" allowOverlap="1" wp14:anchorId="023C20D5" wp14:editId="57C436FC">
                <wp:simplePos x="0" y="0"/>
                <wp:positionH relativeFrom="column">
                  <wp:posOffset>4904105</wp:posOffset>
                </wp:positionH>
                <wp:positionV relativeFrom="paragraph">
                  <wp:posOffset>198451</wp:posOffset>
                </wp:positionV>
                <wp:extent cx="301625" cy="3195955"/>
                <wp:effectExtent l="0" t="0" r="22225" b="23495"/>
                <wp:wrapNone/>
                <wp:docPr id="4" name="Rektangel 4"/>
                <wp:cNvGraphicFramePr/>
                <a:graphic xmlns:a="http://schemas.openxmlformats.org/drawingml/2006/main">
                  <a:graphicData uri="http://schemas.microsoft.com/office/word/2010/wordprocessingShape">
                    <wps:wsp>
                      <wps:cNvSpPr/>
                      <wps:spPr>
                        <a:xfrm>
                          <a:off x="0" y="0"/>
                          <a:ext cx="301625" cy="31959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13B" w:rsidRDefault="0099113B" w:rsidP="006C6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3C20D5" id="Rektangel 4" o:spid="_x0000_s1032" style="position:absolute;margin-left:386.15pt;margin-top:15.65pt;width:23.75pt;height:251.6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" fillcolor="white [3212]" strokecolor="white [3212]" strokeweight="2pt">
                <v:textbox>
                  <w:txbxContent>
                    <w:p w:rsidR="0099113B" w:rsidRDefault="0099113B" w:rsidP="006C6523">
                      <w:pPr>
                        <w:jc w:val="center"/>
                      </w:pPr>
                    </w:p>
                  </w:txbxContent>
                </v:textbox>
              </v:rect>
            </w:pict>
          </mc:Fallback>
        </mc:AlternateContent>
      </w:r>
      <w:r>
        <w:rPr>
          <w:noProof/>
          <w:lang w:val="da-DK" w:eastAsia="da-DK"/>
        </w:rPr>
        <mc:AlternateContent>
          <mc:Choice Requires="wps">
            <w:drawing>
              <wp:anchor distT="0" distB="0" distL="114300" distR="114300" simplePos="0" relativeHeight="251640320" behindDoc="0" locked="0" layoutInCell="1" allowOverlap="1" wp14:anchorId="1D7E56D0" wp14:editId="12D53E4F">
                <wp:simplePos x="0" y="0"/>
                <wp:positionH relativeFrom="column">
                  <wp:posOffset>2496979</wp:posOffset>
                </wp:positionH>
                <wp:positionV relativeFrom="paragraph">
                  <wp:posOffset>1229006</wp:posOffset>
                </wp:positionV>
                <wp:extent cx="301625" cy="4929797"/>
                <wp:effectExtent l="0" t="8890" r="13335" b="13335"/>
                <wp:wrapNone/>
                <wp:docPr id="5" name="Rektangel 5"/>
                <wp:cNvGraphicFramePr/>
                <a:graphic xmlns:a="http://schemas.openxmlformats.org/drawingml/2006/main">
                  <a:graphicData uri="http://schemas.microsoft.com/office/word/2010/wordprocessingShape">
                    <wps:wsp>
                      <wps:cNvSpPr/>
                      <wps:spPr>
                        <a:xfrm rot="16200000">
                          <a:off x="0" y="0"/>
                          <a:ext cx="301625" cy="49297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13B" w:rsidRDefault="0099113B" w:rsidP="006C6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E56D0" id="Rektangel 5" o:spid="_x0000_s1033" style="position:absolute;margin-left:196.6pt;margin-top:96.75pt;width:23.75pt;height:388.15pt;rotation:-90;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" fillcolor="white [3212]" strokecolor="white [3212]" strokeweight="2pt">
                <v:textbox>
                  <w:txbxContent>
                    <w:p w:rsidR="0099113B" w:rsidRDefault="0099113B" w:rsidP="006C6523">
                      <w:pPr>
                        <w:jc w:val="center"/>
                      </w:pPr>
                    </w:p>
                  </w:txbxContent>
                </v:textbox>
              </v:rect>
            </w:pict>
          </mc:Fallback>
        </mc:AlternateContent>
      </w:r>
      <w:r>
        <w:rPr>
          <w:noProof/>
          <w:lang w:val="da-DK" w:eastAsia="da-DK"/>
        </w:rPr>
        <w:drawing>
          <wp:inline distT="0" distB="0" distL="0" distR="0" wp14:anchorId="19C420E3" wp14:editId="142E632F">
            <wp:extent cx="5114290" cy="374269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p>
    <w:p w:rsidR="006C6523" w:rsidRPr="00E95CD3" w:rsidRDefault="006C6523" w:rsidP="006C6523">
      <w:pPr>
        <w:rPr>
          <w:rFonts w:cs="Times New Roman"/>
          <w:szCs w:val="24"/>
        </w:rPr>
      </w:pPr>
      <w:r w:rsidRPr="00E95CD3">
        <w:rPr>
          <w:rFonts w:cs="Times New Roman"/>
          <w:szCs w:val="24"/>
        </w:rPr>
        <w:t xml:space="preserve">Note. The figure reports the average left-right issue ownership score for each country on each issue from 2000 onward. </w:t>
      </w:r>
      <w:r>
        <w:rPr>
          <w:rFonts w:cs="Times New Roman"/>
          <w:szCs w:val="24"/>
        </w:rPr>
        <w:t xml:space="preserve">The countries can be identified by their abbreviations. </w:t>
      </w:r>
    </w:p>
    <w:p w:rsidR="006C6523" w:rsidRDefault="006C6523" w:rsidP="006C6523"/>
    <w:p w:rsidR="0099113B" w:rsidRDefault="0099113B">
      <w:pPr>
        <w:spacing w:after="200" w:line="276" w:lineRule="auto"/>
        <w:rPr>
          <w:rFonts w:cs="Times New Roman"/>
          <w:szCs w:val="24"/>
        </w:rPr>
      </w:pPr>
      <w:r>
        <w:rPr>
          <w:rFonts w:cs="Times New Roman"/>
          <w:szCs w:val="24"/>
        </w:rPr>
        <w:br w:type="page"/>
      </w:r>
    </w:p>
    <w:p w:rsidR="00485DCC" w:rsidRDefault="0099113B" w:rsidP="002F76B3">
      <w:pPr>
        <w:pStyle w:val="Bibliografi"/>
        <w:spacing w:line="480" w:lineRule="auto"/>
        <w:rPr>
          <w:rFonts w:cs="Times New Roman"/>
          <w:szCs w:val="24"/>
        </w:rPr>
      </w:pPr>
      <w:r>
        <w:rPr>
          <w:noProof/>
          <w:lang w:val="da-DK" w:eastAsia="da-DK"/>
        </w:rPr>
        <w:drawing>
          <wp:inline distT="0" distB="0" distL="0" distR="0" wp14:anchorId="064B5992" wp14:editId="175D369C">
            <wp:extent cx="5943600" cy="783336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833360"/>
                    </a:xfrm>
                    <a:prstGeom prst="rect">
                      <a:avLst/>
                    </a:prstGeom>
                  </pic:spPr>
                </pic:pic>
              </a:graphicData>
            </a:graphic>
          </wp:inline>
        </w:drawing>
      </w:r>
    </w:p>
    <w:p w:rsidR="0099113B" w:rsidRDefault="0099113B" w:rsidP="0099113B"/>
    <w:p w:rsidR="0099113B" w:rsidRPr="00EB680E" w:rsidRDefault="0099113B" w:rsidP="0099113B">
      <w:pPr>
        <w:jc w:val="center"/>
        <w:rPr>
          <w:rFonts w:cs="Times New Roman"/>
          <w:b/>
          <w:szCs w:val="24"/>
        </w:rPr>
      </w:pPr>
      <w:r>
        <w:rPr>
          <w:rFonts w:cs="Times New Roman"/>
          <w:b/>
          <w:szCs w:val="24"/>
        </w:rPr>
        <w:t xml:space="preserve">Online </w:t>
      </w:r>
      <w:r w:rsidRPr="00EB680E">
        <w:rPr>
          <w:rFonts w:cs="Times New Roman"/>
          <w:b/>
          <w:szCs w:val="24"/>
        </w:rPr>
        <w:t>Appendix</w:t>
      </w:r>
    </w:p>
    <w:p w:rsidR="0099113B" w:rsidRPr="00EB680E" w:rsidRDefault="0099113B" w:rsidP="0099113B">
      <w:pPr>
        <w:rPr>
          <w:rFonts w:cs="Times New Roman"/>
          <w:szCs w:val="24"/>
        </w:rPr>
      </w:pPr>
      <w:r w:rsidRPr="00EB680E">
        <w:rPr>
          <w:rFonts w:cs="Times New Roman"/>
          <w:szCs w:val="24"/>
        </w:rPr>
        <w:t xml:space="preserve">Table A1 </w:t>
      </w:r>
      <w:r>
        <w:rPr>
          <w:rFonts w:cs="Times New Roman"/>
          <w:szCs w:val="24"/>
        </w:rPr>
        <w:t xml:space="preserve">reports </w:t>
      </w:r>
      <w:r w:rsidRPr="00EB680E">
        <w:rPr>
          <w:rFonts w:cs="Times New Roman"/>
          <w:szCs w:val="24"/>
        </w:rPr>
        <w:t xml:space="preserve">the questions from the national election studies used to compile the data on issue ownership. </w:t>
      </w:r>
      <w:r>
        <w:rPr>
          <w:rFonts w:cs="Times New Roman"/>
          <w:szCs w:val="24"/>
        </w:rPr>
        <w:t>W</w:t>
      </w:r>
      <w:r w:rsidRPr="00EB680E">
        <w:rPr>
          <w:rFonts w:cs="Times New Roman"/>
          <w:szCs w:val="24"/>
        </w:rPr>
        <w:t>hen the question asks about the [most important problem], this bracket refers back to a preceding question where the respondent is asked to name the most important problem. The […] refers to the issue content of the question, which typically is a single noun like crime, health</w:t>
      </w:r>
      <w:r>
        <w:rPr>
          <w:rFonts w:cs="Times New Roman"/>
          <w:szCs w:val="24"/>
        </w:rPr>
        <w:t>,</w:t>
      </w:r>
      <w:r w:rsidRPr="00EB680E">
        <w:rPr>
          <w:rFonts w:cs="Times New Roman"/>
          <w:szCs w:val="24"/>
        </w:rPr>
        <w:t xml:space="preserve"> or education. If </w:t>
      </w:r>
      <w:r>
        <w:rPr>
          <w:rFonts w:cs="Times New Roman"/>
          <w:szCs w:val="24"/>
        </w:rPr>
        <w:t xml:space="preserve">a </w:t>
      </w:r>
      <w:r w:rsidRPr="00EB680E">
        <w:rPr>
          <w:rFonts w:cs="Times New Roman"/>
          <w:szCs w:val="24"/>
        </w:rPr>
        <w:t>simple version of the issue content is not used, the alternative is mentioned in Table A2. If no year is recorded in Table A2, the text is used in every survey.</w:t>
      </w:r>
    </w:p>
    <w:p w:rsidR="0099113B" w:rsidRDefault="0099113B" w:rsidP="0099113B">
      <w:pPr>
        <w:rPr>
          <w:rFonts w:cs="Times New Roman"/>
          <w:b/>
          <w:szCs w:val="24"/>
        </w:rPr>
      </w:pPr>
    </w:p>
    <w:p w:rsidR="0099113B" w:rsidRPr="00EB680E" w:rsidRDefault="0099113B" w:rsidP="0099113B">
      <w:pPr>
        <w:rPr>
          <w:rFonts w:cs="Times New Roman"/>
          <w:szCs w:val="24"/>
        </w:rPr>
      </w:pPr>
      <w:r w:rsidRPr="00EB680E">
        <w:rPr>
          <w:rFonts w:cs="Times New Roman"/>
          <w:b/>
          <w:szCs w:val="24"/>
        </w:rPr>
        <w:t>Table A1.</w:t>
      </w:r>
      <w:r w:rsidRPr="00EB680E">
        <w:rPr>
          <w:rFonts w:cs="Times New Roman"/>
          <w:szCs w:val="24"/>
        </w:rPr>
        <w:t xml:space="preserve"> </w:t>
      </w:r>
      <w:r>
        <w:rPr>
          <w:rFonts w:cs="Times New Roman"/>
          <w:szCs w:val="24"/>
        </w:rPr>
        <w:t>Q</w:t>
      </w:r>
      <w:r w:rsidRPr="00EB680E">
        <w:rPr>
          <w:rFonts w:cs="Times New Roman"/>
          <w:szCs w:val="24"/>
        </w:rPr>
        <w:t>uestions from the national election studies</w:t>
      </w:r>
    </w:p>
    <w:tbl>
      <w:tblPr>
        <w:tblStyle w:val="Tabel-Gitter"/>
        <w:tblW w:w="10458"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958"/>
        <w:gridCol w:w="3060"/>
        <w:gridCol w:w="1440"/>
      </w:tblGrid>
      <w:tr w:rsidR="0099113B" w:rsidRPr="00EB680E" w:rsidTr="0099113B">
        <w:trPr>
          <w:trHeight w:val="440"/>
        </w:trPr>
        <w:tc>
          <w:tcPr>
            <w:tcW w:w="5958" w:type="dxa"/>
            <w:tcBorders>
              <w:top w:val="single" w:sz="4" w:space="0" w:color="auto"/>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Text</w:t>
            </w:r>
          </w:p>
        </w:tc>
        <w:tc>
          <w:tcPr>
            <w:tcW w:w="3060" w:type="dxa"/>
            <w:tcBorders>
              <w:top w:val="single" w:sz="4" w:space="0" w:color="auto"/>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Country</w:t>
            </w:r>
          </w:p>
        </w:tc>
        <w:tc>
          <w:tcPr>
            <w:tcW w:w="1440" w:type="dxa"/>
            <w:tcBorders>
              <w:top w:val="single" w:sz="4" w:space="0" w:color="auto"/>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Year</w:t>
            </w:r>
          </w:p>
        </w:tc>
      </w:tr>
      <w:tr w:rsidR="0099113B" w:rsidRPr="00395770" w:rsidTr="0099113B">
        <w:trPr>
          <w:trHeight w:val="683"/>
        </w:trPr>
        <w:tc>
          <w:tcPr>
            <w:tcW w:w="5958" w:type="dxa"/>
            <w:tcBorders>
              <w:top w:val="single" w:sz="4" w:space="0" w:color="auto"/>
            </w:tcBorders>
          </w:tcPr>
          <w:p w:rsidR="0099113B" w:rsidRPr="00EB680E" w:rsidRDefault="0099113B" w:rsidP="0099113B">
            <w:pPr>
              <w:rPr>
                <w:rFonts w:cs="Times New Roman"/>
                <w:szCs w:val="24"/>
              </w:rPr>
            </w:pPr>
            <w:r w:rsidRPr="00EB680E">
              <w:rPr>
                <w:rFonts w:cs="Times New Roman"/>
                <w:szCs w:val="24"/>
              </w:rPr>
              <w:t>Which party will do a better job at … or which party is best at …</w:t>
            </w:r>
          </w:p>
        </w:tc>
        <w:tc>
          <w:tcPr>
            <w:tcW w:w="3060" w:type="dxa"/>
            <w:tcBorders>
              <w:top w:val="single" w:sz="4" w:space="0" w:color="auto"/>
            </w:tcBorders>
          </w:tcPr>
          <w:p w:rsidR="0099113B" w:rsidRPr="004D242C" w:rsidRDefault="0099113B" w:rsidP="0099113B">
            <w:pPr>
              <w:rPr>
                <w:rFonts w:cs="Times New Roman"/>
                <w:szCs w:val="24"/>
                <w:lang w:val="de-DE"/>
              </w:rPr>
            </w:pPr>
            <w:r w:rsidRPr="004D242C">
              <w:rPr>
                <w:rFonts w:cs="Times New Roman"/>
                <w:szCs w:val="24"/>
                <w:lang w:val="de-DE"/>
              </w:rPr>
              <w:t>USA, UK, Switzerland, NZ, Finland, Belgium, Italy</w:t>
            </w:r>
          </w:p>
        </w:tc>
        <w:tc>
          <w:tcPr>
            <w:tcW w:w="1440" w:type="dxa"/>
            <w:tcBorders>
              <w:top w:val="single" w:sz="4" w:space="0" w:color="auto"/>
            </w:tcBorders>
          </w:tcPr>
          <w:p w:rsidR="0099113B" w:rsidRPr="004D242C" w:rsidRDefault="0099113B" w:rsidP="0099113B">
            <w:pPr>
              <w:rPr>
                <w:rFonts w:cs="Times New Roman"/>
                <w:szCs w:val="24"/>
                <w:lang w:val="de-DE"/>
              </w:rPr>
            </w:pPr>
          </w:p>
        </w:tc>
      </w:tr>
      <w:tr w:rsidR="0099113B" w:rsidRPr="00EB680E" w:rsidTr="0099113B">
        <w:trPr>
          <w:trHeight w:val="414"/>
        </w:trPr>
        <w:tc>
          <w:tcPr>
            <w:tcW w:w="5958" w:type="dxa"/>
          </w:tcPr>
          <w:p w:rsidR="0099113B" w:rsidRPr="00EB680E" w:rsidRDefault="0099113B" w:rsidP="0099113B">
            <w:pPr>
              <w:rPr>
                <w:rFonts w:cs="Times New Roman"/>
                <w:szCs w:val="24"/>
              </w:rPr>
            </w:pPr>
            <w:r w:rsidRPr="00EB680E">
              <w:rPr>
                <w:rFonts w:cs="Times New Roman"/>
                <w:szCs w:val="24"/>
              </w:rPr>
              <w:t>Which party would be best at …</w:t>
            </w:r>
          </w:p>
        </w:tc>
        <w:tc>
          <w:tcPr>
            <w:tcW w:w="3060" w:type="dxa"/>
          </w:tcPr>
          <w:p w:rsidR="0099113B" w:rsidRPr="00EB680E" w:rsidRDefault="0099113B" w:rsidP="0099113B">
            <w:pPr>
              <w:rPr>
                <w:rFonts w:cs="Times New Roman"/>
                <w:szCs w:val="24"/>
              </w:rPr>
            </w:pPr>
            <w:r w:rsidRPr="00EB680E">
              <w:rPr>
                <w:rFonts w:cs="Times New Roman"/>
                <w:szCs w:val="24"/>
              </w:rPr>
              <w:t>France</w:t>
            </w:r>
          </w:p>
        </w:tc>
        <w:tc>
          <w:tcPr>
            <w:tcW w:w="1440" w:type="dxa"/>
          </w:tcPr>
          <w:p w:rsidR="0099113B" w:rsidRPr="00EB680E" w:rsidRDefault="0099113B" w:rsidP="0099113B">
            <w:pPr>
              <w:rPr>
                <w:rFonts w:cs="Times New Roman"/>
                <w:szCs w:val="24"/>
              </w:rPr>
            </w:pPr>
          </w:p>
        </w:tc>
      </w:tr>
      <w:tr w:rsidR="0099113B" w:rsidRPr="00EB680E" w:rsidTr="0099113B">
        <w:trPr>
          <w:trHeight w:val="396"/>
        </w:trPr>
        <w:tc>
          <w:tcPr>
            <w:tcW w:w="5958" w:type="dxa"/>
          </w:tcPr>
          <w:p w:rsidR="0099113B" w:rsidRPr="00EB680E" w:rsidRDefault="0099113B" w:rsidP="0099113B">
            <w:pPr>
              <w:rPr>
                <w:rFonts w:cs="Times New Roman"/>
                <w:szCs w:val="24"/>
              </w:rPr>
            </w:pPr>
            <w:r w:rsidRPr="00EB680E">
              <w:rPr>
                <w:rFonts w:cs="Times New Roman"/>
                <w:szCs w:val="24"/>
              </w:rPr>
              <w:t>Which party is best able at solving […]</w:t>
            </w:r>
          </w:p>
        </w:tc>
        <w:tc>
          <w:tcPr>
            <w:tcW w:w="3060" w:type="dxa"/>
          </w:tcPr>
          <w:p w:rsidR="0099113B" w:rsidRPr="00EB680E" w:rsidRDefault="0099113B" w:rsidP="0099113B">
            <w:pPr>
              <w:rPr>
                <w:rFonts w:cs="Times New Roman"/>
                <w:szCs w:val="24"/>
              </w:rPr>
            </w:pPr>
            <w:r w:rsidRPr="00EB680E">
              <w:rPr>
                <w:rFonts w:cs="Times New Roman"/>
                <w:szCs w:val="24"/>
              </w:rPr>
              <w:t>Denmark</w:t>
            </w:r>
          </w:p>
        </w:tc>
        <w:tc>
          <w:tcPr>
            <w:tcW w:w="1440" w:type="dxa"/>
          </w:tcPr>
          <w:p w:rsidR="0099113B" w:rsidRPr="00EB680E" w:rsidRDefault="0099113B" w:rsidP="0099113B">
            <w:pPr>
              <w:rPr>
                <w:rFonts w:cs="Times New Roman"/>
                <w:szCs w:val="24"/>
              </w:rPr>
            </w:pPr>
          </w:p>
        </w:tc>
      </w:tr>
      <w:tr w:rsidR="0099113B" w:rsidRPr="00EB680E" w:rsidTr="0099113B">
        <w:trPr>
          <w:trHeight w:val="469"/>
        </w:trPr>
        <w:tc>
          <w:tcPr>
            <w:tcW w:w="5958" w:type="dxa"/>
          </w:tcPr>
          <w:p w:rsidR="0099113B" w:rsidRPr="00EB680E" w:rsidRDefault="0099113B" w:rsidP="0099113B">
            <w:pPr>
              <w:rPr>
                <w:rFonts w:cs="Times New Roman"/>
                <w:szCs w:val="24"/>
              </w:rPr>
            </w:pPr>
            <w:r w:rsidRPr="00EB680E">
              <w:rPr>
                <w:rFonts w:cs="Times New Roman"/>
                <w:szCs w:val="24"/>
              </w:rPr>
              <w:t>Which party is best at dealing with [most important problem]</w:t>
            </w:r>
          </w:p>
        </w:tc>
        <w:tc>
          <w:tcPr>
            <w:tcW w:w="3060" w:type="dxa"/>
          </w:tcPr>
          <w:p w:rsidR="0099113B" w:rsidRPr="00EB680E" w:rsidRDefault="0099113B" w:rsidP="0099113B">
            <w:pPr>
              <w:rPr>
                <w:rFonts w:cs="Times New Roman"/>
                <w:szCs w:val="24"/>
              </w:rPr>
            </w:pPr>
            <w:r w:rsidRPr="00EB680E">
              <w:rPr>
                <w:rFonts w:cs="Times New Roman"/>
                <w:szCs w:val="24"/>
              </w:rPr>
              <w:t>Austria</w:t>
            </w:r>
          </w:p>
        </w:tc>
        <w:tc>
          <w:tcPr>
            <w:tcW w:w="1440" w:type="dxa"/>
          </w:tcPr>
          <w:p w:rsidR="0099113B" w:rsidRPr="00EB680E" w:rsidRDefault="0099113B" w:rsidP="0099113B">
            <w:pPr>
              <w:rPr>
                <w:rFonts w:cs="Times New Roman"/>
                <w:szCs w:val="24"/>
              </w:rPr>
            </w:pPr>
          </w:p>
        </w:tc>
      </w:tr>
      <w:tr w:rsidR="0099113B" w:rsidRPr="00EB680E" w:rsidTr="0099113B">
        <w:trPr>
          <w:trHeight w:val="378"/>
        </w:trPr>
        <w:tc>
          <w:tcPr>
            <w:tcW w:w="5958" w:type="dxa"/>
          </w:tcPr>
          <w:p w:rsidR="0099113B" w:rsidRPr="00EB680E" w:rsidRDefault="0099113B" w:rsidP="0099113B">
            <w:pPr>
              <w:rPr>
                <w:rFonts w:cs="Times New Roman"/>
                <w:szCs w:val="24"/>
              </w:rPr>
            </w:pPr>
            <w:r w:rsidRPr="00EB680E">
              <w:rPr>
                <w:rFonts w:cs="Times New Roman"/>
                <w:szCs w:val="24"/>
              </w:rPr>
              <w:t>Which party is best able to solve [most important problem]</w:t>
            </w:r>
          </w:p>
        </w:tc>
        <w:tc>
          <w:tcPr>
            <w:tcW w:w="3060" w:type="dxa"/>
          </w:tcPr>
          <w:p w:rsidR="0099113B" w:rsidRPr="00EB680E" w:rsidRDefault="0099113B" w:rsidP="0099113B">
            <w:pPr>
              <w:rPr>
                <w:rFonts w:cs="Times New Roman"/>
                <w:szCs w:val="24"/>
              </w:rPr>
            </w:pPr>
            <w:r w:rsidRPr="00EB680E">
              <w:rPr>
                <w:rFonts w:cs="Times New Roman"/>
                <w:szCs w:val="24"/>
              </w:rPr>
              <w:t>Ireland</w:t>
            </w:r>
          </w:p>
        </w:tc>
        <w:tc>
          <w:tcPr>
            <w:tcW w:w="1440" w:type="dxa"/>
          </w:tcPr>
          <w:p w:rsidR="0099113B" w:rsidRPr="00EB680E" w:rsidRDefault="0099113B" w:rsidP="0099113B">
            <w:pPr>
              <w:rPr>
                <w:rFonts w:cs="Times New Roman"/>
                <w:szCs w:val="24"/>
              </w:rPr>
            </w:pPr>
          </w:p>
        </w:tc>
      </w:tr>
      <w:tr w:rsidR="0099113B" w:rsidRPr="00EB680E" w:rsidTr="0099113B">
        <w:trPr>
          <w:trHeight w:val="360"/>
        </w:trPr>
        <w:tc>
          <w:tcPr>
            <w:tcW w:w="5958" w:type="dxa"/>
          </w:tcPr>
          <w:p w:rsidR="0099113B" w:rsidRPr="00EB680E" w:rsidRDefault="0099113B" w:rsidP="0099113B">
            <w:pPr>
              <w:rPr>
                <w:rFonts w:cs="Times New Roman"/>
                <w:szCs w:val="24"/>
              </w:rPr>
            </w:pPr>
            <w:r w:rsidRPr="00EB680E">
              <w:rPr>
                <w:rFonts w:cs="Times New Roman"/>
                <w:szCs w:val="24"/>
              </w:rPr>
              <w:t>Which party is best able to solve [most important problem]</w:t>
            </w:r>
          </w:p>
        </w:tc>
        <w:tc>
          <w:tcPr>
            <w:tcW w:w="3060" w:type="dxa"/>
          </w:tcPr>
          <w:p w:rsidR="0099113B" w:rsidRPr="00EB680E" w:rsidRDefault="0099113B" w:rsidP="0099113B">
            <w:pPr>
              <w:rPr>
                <w:rFonts w:cs="Times New Roman"/>
                <w:szCs w:val="24"/>
              </w:rPr>
            </w:pPr>
            <w:r w:rsidRPr="00EB680E">
              <w:rPr>
                <w:rFonts w:cs="Times New Roman"/>
                <w:szCs w:val="24"/>
              </w:rPr>
              <w:t>Netherlands</w:t>
            </w:r>
          </w:p>
        </w:tc>
        <w:tc>
          <w:tcPr>
            <w:tcW w:w="1440" w:type="dxa"/>
          </w:tcPr>
          <w:p w:rsidR="0099113B" w:rsidRPr="00EB680E" w:rsidRDefault="0099113B" w:rsidP="0099113B">
            <w:pPr>
              <w:rPr>
                <w:rFonts w:cs="Times New Roman"/>
                <w:szCs w:val="24"/>
              </w:rPr>
            </w:pPr>
          </w:p>
        </w:tc>
      </w:tr>
      <w:tr w:rsidR="0099113B" w:rsidRPr="00EB680E" w:rsidTr="0099113B">
        <w:trPr>
          <w:trHeight w:val="469"/>
        </w:trPr>
        <w:tc>
          <w:tcPr>
            <w:tcW w:w="5958" w:type="dxa"/>
          </w:tcPr>
          <w:p w:rsidR="0099113B" w:rsidRPr="00EB680E" w:rsidRDefault="0099113B" w:rsidP="0099113B">
            <w:pPr>
              <w:rPr>
                <w:rFonts w:cs="Times New Roman"/>
                <w:szCs w:val="24"/>
              </w:rPr>
            </w:pPr>
            <w:r w:rsidRPr="00EB680E">
              <w:rPr>
                <w:rFonts w:cs="Times New Roman"/>
                <w:szCs w:val="24"/>
              </w:rPr>
              <w:t>Problem solving competence: Which party is best able at solving […]</w:t>
            </w:r>
          </w:p>
        </w:tc>
        <w:tc>
          <w:tcPr>
            <w:tcW w:w="3060" w:type="dxa"/>
          </w:tcPr>
          <w:p w:rsidR="0099113B" w:rsidRPr="00EB680E" w:rsidRDefault="0099113B" w:rsidP="0099113B">
            <w:pPr>
              <w:rPr>
                <w:rFonts w:cs="Times New Roman"/>
                <w:szCs w:val="24"/>
              </w:rPr>
            </w:pPr>
            <w:r w:rsidRPr="00EB680E">
              <w:rPr>
                <w:rFonts w:cs="Times New Roman"/>
                <w:szCs w:val="24"/>
              </w:rPr>
              <w:t>Germany</w:t>
            </w:r>
          </w:p>
        </w:tc>
        <w:tc>
          <w:tcPr>
            <w:tcW w:w="1440" w:type="dxa"/>
          </w:tcPr>
          <w:p w:rsidR="0099113B" w:rsidRPr="00EB680E" w:rsidRDefault="0099113B" w:rsidP="0099113B">
            <w:pPr>
              <w:rPr>
                <w:rFonts w:cs="Times New Roman"/>
                <w:szCs w:val="24"/>
              </w:rPr>
            </w:pPr>
          </w:p>
        </w:tc>
      </w:tr>
      <w:tr w:rsidR="0099113B" w:rsidRPr="00EB680E" w:rsidTr="0099113B">
        <w:trPr>
          <w:trHeight w:val="414"/>
        </w:trPr>
        <w:tc>
          <w:tcPr>
            <w:tcW w:w="5958" w:type="dxa"/>
          </w:tcPr>
          <w:p w:rsidR="0099113B" w:rsidRPr="00EB680E" w:rsidRDefault="0099113B" w:rsidP="0099113B">
            <w:pPr>
              <w:rPr>
                <w:rFonts w:cs="Times New Roman"/>
                <w:szCs w:val="24"/>
              </w:rPr>
            </w:pPr>
            <w:r w:rsidRPr="00EB680E">
              <w:rPr>
                <w:rFonts w:cs="Times New Roman"/>
                <w:szCs w:val="24"/>
              </w:rPr>
              <w:t>Which party is closest to own view on […]</w:t>
            </w:r>
          </w:p>
        </w:tc>
        <w:tc>
          <w:tcPr>
            <w:tcW w:w="3060" w:type="dxa"/>
          </w:tcPr>
          <w:p w:rsidR="0099113B" w:rsidRPr="00EB680E" w:rsidRDefault="0099113B" w:rsidP="0099113B">
            <w:pPr>
              <w:rPr>
                <w:rFonts w:cs="Times New Roman"/>
                <w:szCs w:val="24"/>
              </w:rPr>
            </w:pPr>
            <w:r w:rsidRPr="00EB680E">
              <w:rPr>
                <w:rFonts w:cs="Times New Roman"/>
                <w:szCs w:val="24"/>
              </w:rPr>
              <w:t>Australia</w:t>
            </w:r>
          </w:p>
        </w:tc>
        <w:tc>
          <w:tcPr>
            <w:tcW w:w="1440" w:type="dxa"/>
          </w:tcPr>
          <w:p w:rsidR="0099113B" w:rsidRPr="00EB680E" w:rsidRDefault="0099113B" w:rsidP="0099113B">
            <w:pPr>
              <w:rPr>
                <w:rFonts w:cs="Times New Roman"/>
                <w:szCs w:val="24"/>
              </w:rPr>
            </w:pPr>
          </w:p>
        </w:tc>
      </w:tr>
      <w:tr w:rsidR="0099113B" w:rsidRPr="00EB680E" w:rsidTr="0099113B">
        <w:trPr>
          <w:trHeight w:val="469"/>
        </w:trPr>
        <w:tc>
          <w:tcPr>
            <w:tcW w:w="5958" w:type="dxa"/>
          </w:tcPr>
          <w:p w:rsidR="0099113B" w:rsidRPr="00EB680E" w:rsidRDefault="0099113B" w:rsidP="0099113B">
            <w:pPr>
              <w:rPr>
                <w:rFonts w:cs="Times New Roman"/>
                <w:szCs w:val="24"/>
              </w:rPr>
            </w:pPr>
            <w:r w:rsidRPr="00EB680E">
              <w:rPr>
                <w:rFonts w:cs="Times New Roman"/>
                <w:szCs w:val="24"/>
              </w:rPr>
              <w:t>Is there, in your opinion, any party or parties with a good policy on […]</w:t>
            </w:r>
          </w:p>
        </w:tc>
        <w:tc>
          <w:tcPr>
            <w:tcW w:w="3060" w:type="dxa"/>
          </w:tcPr>
          <w:p w:rsidR="0099113B" w:rsidRPr="00EB680E" w:rsidRDefault="0099113B" w:rsidP="0099113B">
            <w:pPr>
              <w:rPr>
                <w:rFonts w:cs="Times New Roman"/>
                <w:szCs w:val="24"/>
              </w:rPr>
            </w:pPr>
            <w:r w:rsidRPr="00EB680E">
              <w:rPr>
                <w:rFonts w:cs="Times New Roman"/>
                <w:szCs w:val="24"/>
              </w:rPr>
              <w:t>Sweden</w:t>
            </w:r>
          </w:p>
        </w:tc>
        <w:tc>
          <w:tcPr>
            <w:tcW w:w="1440" w:type="dxa"/>
          </w:tcPr>
          <w:p w:rsidR="0099113B" w:rsidRPr="00EB680E" w:rsidRDefault="0099113B" w:rsidP="0099113B">
            <w:pPr>
              <w:rPr>
                <w:rFonts w:cs="Times New Roman"/>
                <w:szCs w:val="24"/>
              </w:rPr>
            </w:pPr>
          </w:p>
        </w:tc>
      </w:tr>
      <w:tr w:rsidR="0099113B" w:rsidRPr="00EB680E" w:rsidTr="0099113B">
        <w:trPr>
          <w:trHeight w:val="369"/>
        </w:trPr>
        <w:tc>
          <w:tcPr>
            <w:tcW w:w="5958" w:type="dxa"/>
          </w:tcPr>
          <w:p w:rsidR="0099113B" w:rsidRPr="00EB680E" w:rsidRDefault="0099113B" w:rsidP="0099113B">
            <w:pPr>
              <w:rPr>
                <w:rFonts w:cs="Times New Roman"/>
                <w:szCs w:val="24"/>
              </w:rPr>
            </w:pPr>
            <w:r w:rsidRPr="00EB680E">
              <w:rPr>
                <w:rFonts w:cs="Times New Roman"/>
                <w:szCs w:val="24"/>
              </w:rPr>
              <w:t>Which party has the best policy, when it comes to […]</w:t>
            </w:r>
          </w:p>
        </w:tc>
        <w:tc>
          <w:tcPr>
            <w:tcW w:w="3060" w:type="dxa"/>
          </w:tcPr>
          <w:p w:rsidR="0099113B" w:rsidRPr="00EB680E" w:rsidRDefault="0099113B" w:rsidP="0099113B">
            <w:pPr>
              <w:rPr>
                <w:rFonts w:cs="Times New Roman"/>
                <w:szCs w:val="24"/>
              </w:rPr>
            </w:pPr>
            <w:r w:rsidRPr="00EB680E">
              <w:rPr>
                <w:rFonts w:cs="Times New Roman"/>
                <w:szCs w:val="24"/>
              </w:rPr>
              <w:t>Norway</w:t>
            </w:r>
          </w:p>
        </w:tc>
        <w:tc>
          <w:tcPr>
            <w:tcW w:w="1440" w:type="dxa"/>
          </w:tcPr>
          <w:p w:rsidR="0099113B" w:rsidRPr="00EB680E" w:rsidRDefault="0099113B" w:rsidP="0099113B">
            <w:pPr>
              <w:rPr>
                <w:rFonts w:cs="Times New Roman"/>
                <w:szCs w:val="24"/>
              </w:rPr>
            </w:pPr>
          </w:p>
        </w:tc>
      </w:tr>
      <w:tr w:rsidR="0099113B" w:rsidRPr="00EB680E" w:rsidTr="0099113B">
        <w:trPr>
          <w:trHeight w:val="621"/>
        </w:trPr>
        <w:tc>
          <w:tcPr>
            <w:tcW w:w="5958" w:type="dxa"/>
          </w:tcPr>
          <w:p w:rsidR="0099113B" w:rsidRPr="00EB680E" w:rsidRDefault="0099113B" w:rsidP="0099113B">
            <w:pPr>
              <w:rPr>
                <w:rFonts w:cs="Times New Roman"/>
                <w:szCs w:val="24"/>
              </w:rPr>
            </w:pPr>
            <w:r w:rsidRPr="00EB680E">
              <w:rPr>
                <w:rFonts w:cs="Times New Roman"/>
                <w:szCs w:val="24"/>
              </w:rPr>
              <w:t>What is the best party dealing with […] or best party dealing with [most important problem]</w:t>
            </w:r>
          </w:p>
        </w:tc>
        <w:tc>
          <w:tcPr>
            <w:tcW w:w="3060" w:type="dxa"/>
          </w:tcPr>
          <w:p w:rsidR="0099113B" w:rsidRPr="00EB680E" w:rsidRDefault="0099113B" w:rsidP="0099113B">
            <w:pPr>
              <w:rPr>
                <w:rFonts w:cs="Times New Roman"/>
                <w:szCs w:val="24"/>
              </w:rPr>
            </w:pPr>
            <w:r w:rsidRPr="00EB680E">
              <w:rPr>
                <w:rFonts w:cs="Times New Roman"/>
                <w:szCs w:val="24"/>
              </w:rPr>
              <w:t>Canada</w:t>
            </w:r>
          </w:p>
        </w:tc>
        <w:tc>
          <w:tcPr>
            <w:tcW w:w="1440" w:type="dxa"/>
          </w:tcPr>
          <w:p w:rsidR="0099113B" w:rsidRPr="00EB680E" w:rsidRDefault="0099113B" w:rsidP="0099113B">
            <w:pPr>
              <w:rPr>
                <w:rFonts w:cs="Times New Roman"/>
                <w:szCs w:val="24"/>
              </w:rPr>
            </w:pPr>
            <w:r w:rsidRPr="00EB680E">
              <w:rPr>
                <w:rFonts w:cs="Times New Roman"/>
                <w:szCs w:val="24"/>
              </w:rPr>
              <w:t>2011, 2008</w:t>
            </w:r>
          </w:p>
        </w:tc>
      </w:tr>
      <w:tr w:rsidR="0099113B" w:rsidRPr="00EB680E" w:rsidTr="0099113B">
        <w:trPr>
          <w:trHeight w:val="594"/>
        </w:trPr>
        <w:tc>
          <w:tcPr>
            <w:tcW w:w="5958" w:type="dxa"/>
          </w:tcPr>
          <w:p w:rsidR="0099113B" w:rsidRPr="00EB680E" w:rsidRDefault="0099113B" w:rsidP="0099113B">
            <w:pPr>
              <w:rPr>
                <w:rFonts w:cs="Times New Roman"/>
                <w:szCs w:val="24"/>
              </w:rPr>
            </w:pPr>
            <w:r w:rsidRPr="00EB680E">
              <w:rPr>
                <w:rFonts w:cs="Times New Roman"/>
                <w:szCs w:val="24"/>
              </w:rPr>
              <w:t>What is the party closest on [most important problem]</w:t>
            </w:r>
          </w:p>
        </w:tc>
        <w:tc>
          <w:tcPr>
            <w:tcW w:w="3060" w:type="dxa"/>
          </w:tcPr>
          <w:p w:rsidR="0099113B" w:rsidRPr="00EB680E" w:rsidRDefault="0099113B" w:rsidP="0099113B">
            <w:pPr>
              <w:rPr>
                <w:rFonts w:cs="Times New Roman"/>
                <w:szCs w:val="24"/>
              </w:rPr>
            </w:pPr>
            <w:r w:rsidRPr="00EB680E">
              <w:rPr>
                <w:rFonts w:cs="Times New Roman"/>
                <w:szCs w:val="24"/>
              </w:rPr>
              <w:t>Canada</w:t>
            </w:r>
          </w:p>
        </w:tc>
        <w:tc>
          <w:tcPr>
            <w:tcW w:w="1440" w:type="dxa"/>
          </w:tcPr>
          <w:p w:rsidR="0099113B" w:rsidRPr="00EB680E" w:rsidRDefault="0099113B" w:rsidP="0099113B">
            <w:pPr>
              <w:rPr>
                <w:rFonts w:cs="Times New Roman"/>
                <w:szCs w:val="24"/>
              </w:rPr>
            </w:pPr>
            <w:r w:rsidRPr="00EB680E">
              <w:rPr>
                <w:rFonts w:cs="Times New Roman"/>
                <w:szCs w:val="24"/>
              </w:rPr>
              <w:t>1990, 1993, 1999, 2005</w:t>
            </w:r>
          </w:p>
        </w:tc>
      </w:tr>
      <w:tr w:rsidR="0099113B" w:rsidRPr="00EB680E" w:rsidTr="0099113B">
        <w:trPr>
          <w:trHeight w:val="135"/>
        </w:trPr>
        <w:tc>
          <w:tcPr>
            <w:tcW w:w="5958" w:type="dxa"/>
          </w:tcPr>
          <w:p w:rsidR="0099113B" w:rsidRPr="00EB680E" w:rsidRDefault="0099113B" w:rsidP="0099113B">
            <w:pPr>
              <w:tabs>
                <w:tab w:val="left" w:pos="1892"/>
              </w:tabs>
              <w:rPr>
                <w:rFonts w:cs="Times New Roman"/>
                <w:szCs w:val="24"/>
              </w:rPr>
            </w:pPr>
            <w:r w:rsidRPr="00EB680E">
              <w:rPr>
                <w:rFonts w:cs="Times New Roman"/>
                <w:szCs w:val="24"/>
              </w:rPr>
              <w:t>Which party could best solve that [most important problem]</w:t>
            </w:r>
          </w:p>
        </w:tc>
        <w:tc>
          <w:tcPr>
            <w:tcW w:w="3060" w:type="dxa"/>
          </w:tcPr>
          <w:p w:rsidR="0099113B" w:rsidRPr="00EB680E" w:rsidRDefault="0099113B" w:rsidP="0099113B">
            <w:pPr>
              <w:rPr>
                <w:rFonts w:cs="Times New Roman"/>
                <w:szCs w:val="24"/>
              </w:rPr>
            </w:pPr>
            <w:r w:rsidRPr="00EB680E">
              <w:rPr>
                <w:rFonts w:cs="Times New Roman"/>
                <w:szCs w:val="24"/>
              </w:rPr>
              <w:t>Canada</w:t>
            </w:r>
          </w:p>
        </w:tc>
        <w:tc>
          <w:tcPr>
            <w:tcW w:w="1440" w:type="dxa"/>
          </w:tcPr>
          <w:p w:rsidR="0099113B" w:rsidRPr="00EB680E" w:rsidRDefault="0099113B" w:rsidP="0099113B">
            <w:pPr>
              <w:rPr>
                <w:rFonts w:cs="Times New Roman"/>
                <w:szCs w:val="24"/>
              </w:rPr>
            </w:pPr>
            <w:r w:rsidRPr="00EB680E">
              <w:rPr>
                <w:rFonts w:cs="Times New Roman"/>
                <w:szCs w:val="24"/>
              </w:rPr>
              <w:t>2002</w:t>
            </w:r>
          </w:p>
        </w:tc>
      </w:tr>
    </w:tbl>
    <w:p w:rsidR="0099113B" w:rsidRPr="00EB680E" w:rsidRDefault="0099113B" w:rsidP="0099113B">
      <w:pPr>
        <w:rPr>
          <w:rFonts w:cs="Times New Roman"/>
          <w:szCs w:val="24"/>
        </w:rPr>
      </w:pPr>
    </w:p>
    <w:p w:rsidR="0099113B" w:rsidRDefault="0099113B" w:rsidP="0099113B">
      <w:pPr>
        <w:rPr>
          <w:rFonts w:cs="Times New Roman"/>
          <w:b/>
          <w:szCs w:val="24"/>
        </w:rPr>
      </w:pPr>
      <w:r>
        <w:rPr>
          <w:rFonts w:cs="Times New Roman"/>
          <w:b/>
          <w:szCs w:val="24"/>
        </w:rPr>
        <w:br w:type="page"/>
      </w:r>
    </w:p>
    <w:p w:rsidR="0099113B" w:rsidRPr="00EB680E" w:rsidRDefault="0099113B" w:rsidP="0099113B">
      <w:pPr>
        <w:spacing w:line="240" w:lineRule="auto"/>
        <w:rPr>
          <w:rFonts w:cs="Times New Roman"/>
          <w:szCs w:val="24"/>
        </w:rPr>
      </w:pPr>
      <w:r w:rsidRPr="00EB680E">
        <w:rPr>
          <w:rFonts w:cs="Times New Roman"/>
          <w:b/>
          <w:szCs w:val="24"/>
        </w:rPr>
        <w:t>Table A2.</w:t>
      </w:r>
      <w:r w:rsidRPr="00EB680E">
        <w:rPr>
          <w:rFonts w:cs="Times New Roman"/>
          <w:szCs w:val="24"/>
        </w:rPr>
        <w:t xml:space="preserve"> The issue content of the question.</w:t>
      </w:r>
      <w:r>
        <w:rPr>
          <w:rFonts w:cs="Times New Roman"/>
          <w:szCs w:val="24"/>
        </w:rPr>
        <w:t xml:space="preserve"> Phrases deviating from the standard question</w:t>
      </w:r>
    </w:p>
    <w:tbl>
      <w:tblPr>
        <w:tblStyle w:val="Tabel-Gitter"/>
        <w:tblW w:w="98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260"/>
        <w:gridCol w:w="1322"/>
      </w:tblGrid>
      <w:tr w:rsidR="0099113B" w:rsidRPr="00EB680E" w:rsidTr="0099113B">
        <w:trPr>
          <w:trHeight w:val="332"/>
        </w:trPr>
        <w:tc>
          <w:tcPr>
            <w:tcW w:w="7308" w:type="dxa"/>
            <w:tcBorders>
              <w:top w:val="single" w:sz="4" w:space="0" w:color="auto"/>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Text on unemployment</w:t>
            </w:r>
          </w:p>
        </w:tc>
        <w:tc>
          <w:tcPr>
            <w:tcW w:w="1260" w:type="dxa"/>
            <w:tcBorders>
              <w:top w:val="single" w:sz="4" w:space="0" w:color="auto"/>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Country</w:t>
            </w:r>
          </w:p>
        </w:tc>
        <w:tc>
          <w:tcPr>
            <w:tcW w:w="1322" w:type="dxa"/>
            <w:tcBorders>
              <w:top w:val="single" w:sz="4" w:space="0" w:color="auto"/>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Year</w:t>
            </w:r>
          </w:p>
        </w:tc>
      </w:tr>
      <w:tr w:rsidR="0099113B" w:rsidRPr="00EB680E" w:rsidTr="0099113B">
        <w:tc>
          <w:tcPr>
            <w:tcW w:w="7308"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“Fighting unemployment”</w:t>
            </w:r>
          </w:p>
        </w:tc>
        <w:tc>
          <w:tcPr>
            <w:tcW w:w="1260"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Germany</w:t>
            </w:r>
          </w:p>
        </w:tc>
        <w:tc>
          <w:tcPr>
            <w:tcW w:w="1322"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1998</w:t>
            </w:r>
          </w:p>
        </w:tc>
      </w:tr>
      <w:tr w:rsidR="0099113B" w:rsidRPr="00EB680E" w:rsidTr="0099113B">
        <w:tc>
          <w:tcPr>
            <w:tcW w:w="7308" w:type="dxa"/>
            <w:vAlign w:val="bottom"/>
          </w:tcPr>
          <w:p w:rsidR="0099113B" w:rsidRPr="00EB680E" w:rsidRDefault="0099113B" w:rsidP="0099113B">
            <w:pPr>
              <w:rPr>
                <w:rFonts w:cs="Times New Roman"/>
                <w:szCs w:val="24"/>
              </w:rPr>
            </w:pPr>
            <w:r w:rsidRPr="00EB680E">
              <w:rPr>
                <w:rFonts w:cs="Times New Roman"/>
                <w:szCs w:val="24"/>
              </w:rPr>
              <w:t>“Employment”</w:t>
            </w:r>
          </w:p>
        </w:tc>
        <w:tc>
          <w:tcPr>
            <w:tcW w:w="1260" w:type="dxa"/>
            <w:vAlign w:val="bottom"/>
          </w:tcPr>
          <w:p w:rsidR="0099113B" w:rsidRPr="00EB680E" w:rsidRDefault="0099113B" w:rsidP="0099113B">
            <w:pPr>
              <w:rPr>
                <w:rFonts w:cs="Times New Roman"/>
                <w:szCs w:val="24"/>
              </w:rPr>
            </w:pPr>
            <w:r w:rsidRPr="00EB680E">
              <w:rPr>
                <w:rFonts w:cs="Times New Roman"/>
                <w:szCs w:val="24"/>
              </w:rPr>
              <w:t>Sweden</w:t>
            </w:r>
          </w:p>
        </w:tc>
        <w:tc>
          <w:tcPr>
            <w:tcW w:w="1322" w:type="dxa"/>
            <w:vAlign w:val="bottom"/>
          </w:tcPr>
          <w:p w:rsidR="0099113B" w:rsidRPr="00EB680E" w:rsidRDefault="0099113B" w:rsidP="0099113B">
            <w:pPr>
              <w:rPr>
                <w:rFonts w:cs="Times New Roman"/>
                <w:szCs w:val="24"/>
              </w:rPr>
            </w:pPr>
          </w:p>
        </w:tc>
      </w:tr>
      <w:tr w:rsidR="0099113B" w:rsidRPr="00EB680E" w:rsidTr="0099113B">
        <w:tc>
          <w:tcPr>
            <w:tcW w:w="7308" w:type="dxa"/>
            <w:vAlign w:val="bottom"/>
          </w:tcPr>
          <w:p w:rsidR="0099113B" w:rsidRPr="00EB680E" w:rsidRDefault="0099113B" w:rsidP="0099113B">
            <w:pPr>
              <w:rPr>
                <w:rFonts w:cs="Times New Roman"/>
                <w:szCs w:val="24"/>
              </w:rPr>
            </w:pPr>
            <w:r w:rsidRPr="00EB680E">
              <w:rPr>
                <w:rFonts w:cs="Times New Roman"/>
                <w:szCs w:val="24"/>
              </w:rPr>
              <w:t>“</w:t>
            </w:r>
            <w:r>
              <w:rPr>
                <w:rFonts w:cs="Times New Roman"/>
                <w:szCs w:val="24"/>
              </w:rPr>
              <w:t>C</w:t>
            </w:r>
            <w:r w:rsidRPr="00EB680E">
              <w:rPr>
                <w:rFonts w:cs="Times New Roman"/>
                <w:szCs w:val="24"/>
              </w:rPr>
              <w:t>reating jobs”</w:t>
            </w:r>
          </w:p>
        </w:tc>
        <w:tc>
          <w:tcPr>
            <w:tcW w:w="1260" w:type="dxa"/>
            <w:vAlign w:val="bottom"/>
          </w:tcPr>
          <w:p w:rsidR="0099113B" w:rsidRPr="00EB680E" w:rsidRDefault="0099113B" w:rsidP="0099113B">
            <w:pPr>
              <w:rPr>
                <w:rFonts w:cs="Times New Roman"/>
                <w:szCs w:val="24"/>
              </w:rPr>
            </w:pPr>
            <w:r w:rsidRPr="00EB680E">
              <w:rPr>
                <w:rFonts w:cs="Times New Roman"/>
                <w:szCs w:val="24"/>
              </w:rPr>
              <w:t>Canada</w:t>
            </w:r>
          </w:p>
        </w:tc>
        <w:tc>
          <w:tcPr>
            <w:tcW w:w="1322" w:type="dxa"/>
            <w:vAlign w:val="bottom"/>
          </w:tcPr>
          <w:p w:rsidR="0099113B" w:rsidRPr="00EB680E" w:rsidRDefault="0099113B" w:rsidP="0099113B">
            <w:pPr>
              <w:rPr>
                <w:rFonts w:cs="Times New Roman"/>
                <w:szCs w:val="24"/>
              </w:rPr>
            </w:pPr>
          </w:p>
        </w:tc>
      </w:tr>
      <w:tr w:rsidR="0099113B" w:rsidRPr="00EB680E" w:rsidTr="0099113B">
        <w:tc>
          <w:tcPr>
            <w:tcW w:w="7308" w:type="dxa"/>
            <w:tcBorders>
              <w:bottom w:val="nil"/>
            </w:tcBorders>
            <w:vAlign w:val="bottom"/>
          </w:tcPr>
          <w:p w:rsidR="0099113B" w:rsidRPr="00EB680E" w:rsidRDefault="0099113B" w:rsidP="0099113B">
            <w:pPr>
              <w:rPr>
                <w:rFonts w:cs="Times New Roman"/>
                <w:szCs w:val="24"/>
              </w:rPr>
            </w:pPr>
            <w:r w:rsidRPr="00EB680E">
              <w:rPr>
                <w:rFonts w:cs="Times New Roman"/>
                <w:szCs w:val="24"/>
              </w:rPr>
              <w:t>“Fighting unemployment”</w:t>
            </w:r>
          </w:p>
        </w:tc>
        <w:tc>
          <w:tcPr>
            <w:tcW w:w="1260" w:type="dxa"/>
            <w:tcBorders>
              <w:bottom w:val="nil"/>
            </w:tcBorders>
            <w:vAlign w:val="bottom"/>
          </w:tcPr>
          <w:p w:rsidR="0099113B" w:rsidRPr="00EB680E" w:rsidRDefault="0099113B" w:rsidP="0099113B">
            <w:pPr>
              <w:rPr>
                <w:rFonts w:cs="Times New Roman"/>
                <w:szCs w:val="24"/>
              </w:rPr>
            </w:pPr>
            <w:r w:rsidRPr="00EB680E">
              <w:rPr>
                <w:rFonts w:cs="Times New Roman"/>
                <w:szCs w:val="24"/>
              </w:rPr>
              <w:t>Denmark</w:t>
            </w:r>
          </w:p>
        </w:tc>
        <w:tc>
          <w:tcPr>
            <w:tcW w:w="1322" w:type="dxa"/>
            <w:tcBorders>
              <w:bottom w:val="nil"/>
            </w:tcBorders>
            <w:vAlign w:val="bottom"/>
          </w:tcPr>
          <w:p w:rsidR="0099113B" w:rsidRPr="00EB680E" w:rsidRDefault="0099113B" w:rsidP="0099113B">
            <w:pPr>
              <w:rPr>
                <w:rFonts w:cs="Times New Roman"/>
                <w:szCs w:val="24"/>
              </w:rPr>
            </w:pPr>
          </w:p>
        </w:tc>
      </w:tr>
      <w:tr w:rsidR="0099113B" w:rsidRPr="00EB680E" w:rsidTr="0099113B">
        <w:trPr>
          <w:trHeight w:val="360"/>
        </w:trPr>
        <w:tc>
          <w:tcPr>
            <w:tcW w:w="7308" w:type="dxa"/>
            <w:tcBorders>
              <w:top w:val="nil"/>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Text on tax</w:t>
            </w:r>
          </w:p>
        </w:tc>
        <w:tc>
          <w:tcPr>
            <w:tcW w:w="1260" w:type="dxa"/>
            <w:tcBorders>
              <w:top w:val="nil"/>
              <w:bottom w:val="single" w:sz="4" w:space="0" w:color="auto"/>
            </w:tcBorders>
            <w:vAlign w:val="bottom"/>
          </w:tcPr>
          <w:p w:rsidR="0099113B" w:rsidRPr="00EB680E" w:rsidRDefault="0099113B" w:rsidP="0099113B">
            <w:pPr>
              <w:rPr>
                <w:rFonts w:cs="Times New Roman"/>
                <w:b/>
                <w:szCs w:val="24"/>
              </w:rPr>
            </w:pPr>
          </w:p>
        </w:tc>
        <w:tc>
          <w:tcPr>
            <w:tcW w:w="1322" w:type="dxa"/>
            <w:tcBorders>
              <w:top w:val="nil"/>
              <w:bottom w:val="single" w:sz="4" w:space="0" w:color="auto"/>
            </w:tcBorders>
            <w:vAlign w:val="bottom"/>
          </w:tcPr>
          <w:p w:rsidR="0099113B" w:rsidRPr="00EB680E" w:rsidRDefault="0099113B" w:rsidP="0099113B">
            <w:pPr>
              <w:rPr>
                <w:rFonts w:cs="Times New Roman"/>
                <w:b/>
                <w:szCs w:val="24"/>
              </w:rPr>
            </w:pPr>
          </w:p>
        </w:tc>
      </w:tr>
      <w:tr w:rsidR="0099113B" w:rsidRPr="00EB680E" w:rsidTr="0099113B">
        <w:tc>
          <w:tcPr>
            <w:tcW w:w="7308"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“Lower the tax burden”</w:t>
            </w:r>
          </w:p>
        </w:tc>
        <w:tc>
          <w:tcPr>
            <w:tcW w:w="1260"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Germany</w:t>
            </w:r>
          </w:p>
        </w:tc>
        <w:tc>
          <w:tcPr>
            <w:tcW w:w="1322"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1998</w:t>
            </w:r>
          </w:p>
        </w:tc>
      </w:tr>
      <w:tr w:rsidR="0099113B" w:rsidRPr="00EB680E" w:rsidTr="0099113B">
        <w:tc>
          <w:tcPr>
            <w:tcW w:w="7308" w:type="dxa"/>
            <w:vAlign w:val="bottom"/>
          </w:tcPr>
          <w:p w:rsidR="0099113B" w:rsidRPr="00EB680E" w:rsidRDefault="0099113B" w:rsidP="0099113B">
            <w:pPr>
              <w:rPr>
                <w:rFonts w:cs="Times New Roman"/>
                <w:szCs w:val="24"/>
              </w:rPr>
            </w:pPr>
            <w:r w:rsidRPr="00EB680E">
              <w:rPr>
                <w:rFonts w:cs="Times New Roman"/>
                <w:szCs w:val="24"/>
              </w:rPr>
              <w:t>“Cutting taxes”</w:t>
            </w:r>
          </w:p>
        </w:tc>
        <w:tc>
          <w:tcPr>
            <w:tcW w:w="1260" w:type="dxa"/>
            <w:vAlign w:val="bottom"/>
          </w:tcPr>
          <w:p w:rsidR="0099113B" w:rsidRPr="00EB680E" w:rsidRDefault="0099113B" w:rsidP="0099113B">
            <w:pPr>
              <w:rPr>
                <w:rFonts w:cs="Times New Roman"/>
                <w:szCs w:val="24"/>
              </w:rPr>
            </w:pPr>
            <w:r w:rsidRPr="00EB680E">
              <w:rPr>
                <w:rFonts w:cs="Times New Roman"/>
                <w:szCs w:val="24"/>
              </w:rPr>
              <w:t>Canada</w:t>
            </w:r>
          </w:p>
        </w:tc>
        <w:tc>
          <w:tcPr>
            <w:tcW w:w="1322" w:type="dxa"/>
            <w:vAlign w:val="bottom"/>
          </w:tcPr>
          <w:p w:rsidR="0099113B" w:rsidRPr="00EB680E" w:rsidRDefault="0099113B" w:rsidP="0099113B">
            <w:pPr>
              <w:rPr>
                <w:rFonts w:cs="Times New Roman"/>
                <w:szCs w:val="24"/>
              </w:rPr>
            </w:pPr>
          </w:p>
        </w:tc>
      </w:tr>
      <w:tr w:rsidR="0099113B" w:rsidRPr="00EB680E" w:rsidTr="0099113B">
        <w:tc>
          <w:tcPr>
            <w:tcW w:w="7308" w:type="dxa"/>
            <w:vAlign w:val="bottom"/>
          </w:tcPr>
          <w:p w:rsidR="0099113B" w:rsidRPr="00EB680E" w:rsidRDefault="0099113B" w:rsidP="0099113B">
            <w:pPr>
              <w:rPr>
                <w:rFonts w:cs="Times New Roman"/>
                <w:szCs w:val="24"/>
              </w:rPr>
            </w:pPr>
            <w:r w:rsidRPr="00EB680E">
              <w:rPr>
                <w:rFonts w:cs="Times New Roman"/>
                <w:szCs w:val="24"/>
              </w:rPr>
              <w:t>“Ensure balance btw. tax burden and social security”</w:t>
            </w:r>
          </w:p>
        </w:tc>
        <w:tc>
          <w:tcPr>
            <w:tcW w:w="1260" w:type="dxa"/>
            <w:vAlign w:val="bottom"/>
          </w:tcPr>
          <w:p w:rsidR="0099113B" w:rsidRPr="00EB680E" w:rsidRDefault="0099113B" w:rsidP="0099113B">
            <w:pPr>
              <w:rPr>
                <w:rFonts w:cs="Times New Roman"/>
                <w:szCs w:val="24"/>
              </w:rPr>
            </w:pPr>
            <w:r w:rsidRPr="00EB680E">
              <w:rPr>
                <w:rFonts w:cs="Times New Roman"/>
                <w:szCs w:val="24"/>
              </w:rPr>
              <w:t>Denmark</w:t>
            </w:r>
          </w:p>
        </w:tc>
        <w:tc>
          <w:tcPr>
            <w:tcW w:w="1322" w:type="dxa"/>
            <w:vAlign w:val="bottom"/>
          </w:tcPr>
          <w:p w:rsidR="0099113B" w:rsidRPr="00EB680E" w:rsidRDefault="0099113B" w:rsidP="0099113B">
            <w:pPr>
              <w:rPr>
                <w:rFonts w:cs="Times New Roman"/>
                <w:szCs w:val="24"/>
              </w:rPr>
            </w:pPr>
            <w:r w:rsidRPr="00EB680E">
              <w:rPr>
                <w:rFonts w:cs="Times New Roman"/>
                <w:szCs w:val="24"/>
              </w:rPr>
              <w:t>2007</w:t>
            </w:r>
          </w:p>
        </w:tc>
      </w:tr>
      <w:tr w:rsidR="0099113B" w:rsidRPr="00EB680E" w:rsidTr="0099113B">
        <w:tc>
          <w:tcPr>
            <w:tcW w:w="7308" w:type="dxa"/>
            <w:tcBorders>
              <w:bottom w:val="nil"/>
            </w:tcBorders>
            <w:vAlign w:val="bottom"/>
          </w:tcPr>
          <w:p w:rsidR="0099113B" w:rsidRPr="00EB680E" w:rsidRDefault="0099113B" w:rsidP="0099113B">
            <w:pPr>
              <w:rPr>
                <w:rFonts w:cs="Times New Roman"/>
                <w:szCs w:val="24"/>
                <w:lang w:val="da-DK"/>
              </w:rPr>
            </w:pPr>
            <w:r w:rsidRPr="00EB680E">
              <w:rPr>
                <w:rFonts w:cs="Times New Roman"/>
                <w:szCs w:val="24"/>
                <w:lang w:val="da-DK"/>
              </w:rPr>
              <w:t>”Keep taxes from rising”</w:t>
            </w:r>
          </w:p>
        </w:tc>
        <w:tc>
          <w:tcPr>
            <w:tcW w:w="1260" w:type="dxa"/>
            <w:tcBorders>
              <w:bottom w:val="nil"/>
            </w:tcBorders>
            <w:vAlign w:val="bottom"/>
          </w:tcPr>
          <w:p w:rsidR="0099113B" w:rsidRPr="00EB680E" w:rsidRDefault="0099113B" w:rsidP="0099113B">
            <w:pPr>
              <w:rPr>
                <w:rFonts w:cs="Times New Roman"/>
                <w:szCs w:val="24"/>
              </w:rPr>
            </w:pPr>
            <w:r w:rsidRPr="00EB680E">
              <w:rPr>
                <w:rFonts w:cs="Times New Roman"/>
                <w:szCs w:val="24"/>
              </w:rPr>
              <w:t>Denmark</w:t>
            </w:r>
          </w:p>
        </w:tc>
        <w:tc>
          <w:tcPr>
            <w:tcW w:w="1322" w:type="dxa"/>
            <w:tcBorders>
              <w:bottom w:val="nil"/>
            </w:tcBorders>
            <w:vAlign w:val="bottom"/>
          </w:tcPr>
          <w:p w:rsidR="0099113B" w:rsidRPr="00EB680E" w:rsidRDefault="0099113B" w:rsidP="0099113B">
            <w:pPr>
              <w:rPr>
                <w:rFonts w:cs="Times New Roman"/>
                <w:szCs w:val="24"/>
              </w:rPr>
            </w:pPr>
            <w:r w:rsidRPr="00EB680E">
              <w:rPr>
                <w:rFonts w:cs="Times New Roman"/>
                <w:szCs w:val="24"/>
              </w:rPr>
              <w:t>2005</w:t>
            </w:r>
          </w:p>
        </w:tc>
      </w:tr>
      <w:tr w:rsidR="0099113B" w:rsidRPr="00EB680E" w:rsidTr="0099113B">
        <w:trPr>
          <w:trHeight w:val="377"/>
        </w:trPr>
        <w:tc>
          <w:tcPr>
            <w:tcW w:w="7308" w:type="dxa"/>
            <w:tcBorders>
              <w:top w:val="nil"/>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Text on crime</w:t>
            </w:r>
          </w:p>
        </w:tc>
        <w:tc>
          <w:tcPr>
            <w:tcW w:w="1260" w:type="dxa"/>
            <w:tcBorders>
              <w:top w:val="nil"/>
              <w:bottom w:val="single" w:sz="4" w:space="0" w:color="auto"/>
            </w:tcBorders>
            <w:vAlign w:val="bottom"/>
          </w:tcPr>
          <w:p w:rsidR="0099113B" w:rsidRPr="00EB680E" w:rsidRDefault="0099113B" w:rsidP="0099113B">
            <w:pPr>
              <w:rPr>
                <w:rFonts w:cs="Times New Roman"/>
                <w:b/>
                <w:szCs w:val="24"/>
              </w:rPr>
            </w:pPr>
          </w:p>
        </w:tc>
        <w:tc>
          <w:tcPr>
            <w:tcW w:w="1322" w:type="dxa"/>
            <w:tcBorders>
              <w:top w:val="nil"/>
              <w:bottom w:val="single" w:sz="4" w:space="0" w:color="auto"/>
            </w:tcBorders>
            <w:vAlign w:val="bottom"/>
          </w:tcPr>
          <w:p w:rsidR="0099113B" w:rsidRPr="00EB680E" w:rsidRDefault="0099113B" w:rsidP="0099113B">
            <w:pPr>
              <w:rPr>
                <w:rFonts w:cs="Times New Roman"/>
                <w:b/>
                <w:szCs w:val="24"/>
              </w:rPr>
            </w:pPr>
          </w:p>
        </w:tc>
      </w:tr>
      <w:tr w:rsidR="0099113B" w:rsidRPr="00EB680E" w:rsidTr="0099113B">
        <w:tc>
          <w:tcPr>
            <w:tcW w:w="7308" w:type="dxa"/>
            <w:tcBorders>
              <w:top w:val="single" w:sz="4" w:space="0" w:color="auto"/>
              <w:bottom w:val="nil"/>
            </w:tcBorders>
            <w:vAlign w:val="bottom"/>
          </w:tcPr>
          <w:p w:rsidR="0099113B" w:rsidRPr="00EB680E" w:rsidRDefault="0099113B" w:rsidP="0099113B">
            <w:pPr>
              <w:rPr>
                <w:rFonts w:cs="Times New Roman"/>
                <w:szCs w:val="24"/>
              </w:rPr>
            </w:pPr>
            <w:r w:rsidRPr="00EB680E">
              <w:rPr>
                <w:rFonts w:cs="Times New Roman"/>
                <w:szCs w:val="24"/>
              </w:rPr>
              <w:t>“Fight crime”</w:t>
            </w:r>
          </w:p>
        </w:tc>
        <w:tc>
          <w:tcPr>
            <w:tcW w:w="1260" w:type="dxa"/>
            <w:tcBorders>
              <w:top w:val="single" w:sz="4" w:space="0" w:color="auto"/>
              <w:bottom w:val="nil"/>
            </w:tcBorders>
            <w:vAlign w:val="bottom"/>
          </w:tcPr>
          <w:p w:rsidR="0099113B" w:rsidRPr="00EB680E" w:rsidRDefault="0099113B" w:rsidP="0099113B">
            <w:pPr>
              <w:rPr>
                <w:rFonts w:cs="Times New Roman"/>
                <w:szCs w:val="24"/>
              </w:rPr>
            </w:pPr>
            <w:r w:rsidRPr="00EB680E">
              <w:rPr>
                <w:rFonts w:cs="Times New Roman"/>
                <w:szCs w:val="24"/>
              </w:rPr>
              <w:t>Germany</w:t>
            </w:r>
          </w:p>
        </w:tc>
        <w:tc>
          <w:tcPr>
            <w:tcW w:w="1322" w:type="dxa"/>
            <w:tcBorders>
              <w:top w:val="single" w:sz="4" w:space="0" w:color="auto"/>
              <w:bottom w:val="nil"/>
            </w:tcBorders>
            <w:vAlign w:val="bottom"/>
          </w:tcPr>
          <w:p w:rsidR="0099113B" w:rsidRPr="00EB680E" w:rsidRDefault="0099113B" w:rsidP="0099113B">
            <w:pPr>
              <w:rPr>
                <w:rFonts w:cs="Times New Roman"/>
                <w:szCs w:val="24"/>
              </w:rPr>
            </w:pPr>
            <w:r w:rsidRPr="00EB680E">
              <w:rPr>
                <w:rFonts w:cs="Times New Roman"/>
                <w:szCs w:val="24"/>
              </w:rPr>
              <w:t>1998</w:t>
            </w:r>
          </w:p>
        </w:tc>
      </w:tr>
      <w:tr w:rsidR="0099113B" w:rsidRPr="00EB680E" w:rsidTr="0099113B">
        <w:trPr>
          <w:trHeight w:val="405"/>
        </w:trPr>
        <w:tc>
          <w:tcPr>
            <w:tcW w:w="7308" w:type="dxa"/>
            <w:tcBorders>
              <w:top w:val="nil"/>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 xml:space="preserve">Text on </w:t>
            </w:r>
            <w:r>
              <w:rPr>
                <w:rFonts w:cs="Times New Roman"/>
                <w:b/>
                <w:szCs w:val="24"/>
              </w:rPr>
              <w:t>asylum/</w:t>
            </w:r>
            <w:r w:rsidRPr="00EB680E">
              <w:rPr>
                <w:rFonts w:cs="Times New Roman"/>
                <w:b/>
                <w:szCs w:val="24"/>
              </w:rPr>
              <w:t>immigration</w:t>
            </w:r>
          </w:p>
        </w:tc>
        <w:tc>
          <w:tcPr>
            <w:tcW w:w="1260" w:type="dxa"/>
            <w:tcBorders>
              <w:top w:val="nil"/>
              <w:bottom w:val="single" w:sz="4" w:space="0" w:color="auto"/>
            </w:tcBorders>
            <w:vAlign w:val="bottom"/>
          </w:tcPr>
          <w:p w:rsidR="0099113B" w:rsidRPr="00EB680E" w:rsidRDefault="0099113B" w:rsidP="0099113B">
            <w:pPr>
              <w:rPr>
                <w:rFonts w:cs="Times New Roman"/>
                <w:b/>
                <w:szCs w:val="24"/>
              </w:rPr>
            </w:pPr>
          </w:p>
        </w:tc>
        <w:tc>
          <w:tcPr>
            <w:tcW w:w="1322" w:type="dxa"/>
            <w:tcBorders>
              <w:top w:val="nil"/>
              <w:bottom w:val="single" w:sz="4" w:space="0" w:color="auto"/>
            </w:tcBorders>
            <w:vAlign w:val="bottom"/>
          </w:tcPr>
          <w:p w:rsidR="0099113B" w:rsidRPr="00EB680E" w:rsidRDefault="0099113B" w:rsidP="0099113B">
            <w:pPr>
              <w:rPr>
                <w:rFonts w:cs="Times New Roman"/>
                <w:b/>
                <w:szCs w:val="24"/>
              </w:rPr>
            </w:pPr>
          </w:p>
        </w:tc>
      </w:tr>
      <w:tr w:rsidR="0099113B" w:rsidRPr="00EB680E" w:rsidTr="0099113B">
        <w:tc>
          <w:tcPr>
            <w:tcW w:w="7308"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“Xenop</w:t>
            </w:r>
            <w:r>
              <w:rPr>
                <w:rFonts w:cs="Times New Roman"/>
                <w:szCs w:val="24"/>
              </w:rPr>
              <w:t>h</w:t>
            </w:r>
            <w:r w:rsidRPr="00EB680E">
              <w:rPr>
                <w:rFonts w:cs="Times New Roman"/>
                <w:szCs w:val="24"/>
              </w:rPr>
              <w:t>obia”</w:t>
            </w:r>
          </w:p>
        </w:tc>
        <w:tc>
          <w:tcPr>
            <w:tcW w:w="1260"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Germany</w:t>
            </w:r>
          </w:p>
        </w:tc>
        <w:tc>
          <w:tcPr>
            <w:tcW w:w="1322"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2005</w:t>
            </w:r>
          </w:p>
        </w:tc>
      </w:tr>
      <w:tr w:rsidR="0099113B" w:rsidRPr="00EB680E" w:rsidTr="0099113B">
        <w:tc>
          <w:tcPr>
            <w:tcW w:w="7308" w:type="dxa"/>
            <w:vAlign w:val="bottom"/>
          </w:tcPr>
          <w:p w:rsidR="0099113B" w:rsidRPr="00EB680E" w:rsidRDefault="0099113B" w:rsidP="0099113B">
            <w:pPr>
              <w:rPr>
                <w:rFonts w:cs="Times New Roman"/>
                <w:szCs w:val="24"/>
              </w:rPr>
            </w:pPr>
            <w:r w:rsidRPr="00EB680E">
              <w:rPr>
                <w:rFonts w:cs="Times New Roman"/>
                <w:szCs w:val="24"/>
              </w:rPr>
              <w:t>“Regulating the influx of immigration”</w:t>
            </w:r>
          </w:p>
        </w:tc>
        <w:tc>
          <w:tcPr>
            <w:tcW w:w="1260" w:type="dxa"/>
            <w:vAlign w:val="bottom"/>
          </w:tcPr>
          <w:p w:rsidR="0099113B" w:rsidRPr="00EB680E" w:rsidRDefault="0099113B" w:rsidP="0099113B">
            <w:pPr>
              <w:rPr>
                <w:rFonts w:cs="Times New Roman"/>
                <w:szCs w:val="24"/>
              </w:rPr>
            </w:pPr>
            <w:r w:rsidRPr="00EB680E">
              <w:rPr>
                <w:rFonts w:cs="Times New Roman"/>
                <w:szCs w:val="24"/>
              </w:rPr>
              <w:t>Germany</w:t>
            </w:r>
          </w:p>
        </w:tc>
        <w:tc>
          <w:tcPr>
            <w:tcW w:w="1322" w:type="dxa"/>
            <w:vAlign w:val="bottom"/>
          </w:tcPr>
          <w:p w:rsidR="0099113B" w:rsidRPr="00EB680E" w:rsidRDefault="0099113B" w:rsidP="0099113B">
            <w:pPr>
              <w:rPr>
                <w:rFonts w:cs="Times New Roman"/>
                <w:szCs w:val="24"/>
              </w:rPr>
            </w:pPr>
            <w:r w:rsidRPr="00EB680E">
              <w:rPr>
                <w:rFonts w:cs="Times New Roman"/>
                <w:szCs w:val="24"/>
              </w:rPr>
              <w:t>1998</w:t>
            </w:r>
          </w:p>
        </w:tc>
      </w:tr>
      <w:tr w:rsidR="0099113B" w:rsidRPr="00EB680E" w:rsidTr="0099113B">
        <w:tc>
          <w:tcPr>
            <w:tcW w:w="7308" w:type="dxa"/>
            <w:tcBorders>
              <w:bottom w:val="nil"/>
            </w:tcBorders>
            <w:vAlign w:val="bottom"/>
          </w:tcPr>
          <w:p w:rsidR="0099113B" w:rsidRPr="00EB680E" w:rsidRDefault="0099113B" w:rsidP="0099113B">
            <w:pPr>
              <w:rPr>
                <w:rFonts w:cs="Times New Roman"/>
                <w:szCs w:val="24"/>
              </w:rPr>
            </w:pPr>
            <w:r w:rsidRPr="00EB680E">
              <w:rPr>
                <w:rFonts w:cs="Times New Roman"/>
                <w:szCs w:val="24"/>
              </w:rPr>
              <w:t>“Ensure reasonable asylum and immigration policy”</w:t>
            </w:r>
          </w:p>
        </w:tc>
        <w:tc>
          <w:tcPr>
            <w:tcW w:w="1260" w:type="dxa"/>
            <w:tcBorders>
              <w:bottom w:val="nil"/>
            </w:tcBorders>
            <w:vAlign w:val="bottom"/>
          </w:tcPr>
          <w:p w:rsidR="0099113B" w:rsidRPr="00EB680E" w:rsidRDefault="0099113B" w:rsidP="0099113B">
            <w:pPr>
              <w:rPr>
                <w:rFonts w:cs="Times New Roman"/>
                <w:szCs w:val="24"/>
              </w:rPr>
            </w:pPr>
          </w:p>
        </w:tc>
        <w:tc>
          <w:tcPr>
            <w:tcW w:w="1322" w:type="dxa"/>
            <w:tcBorders>
              <w:bottom w:val="nil"/>
            </w:tcBorders>
            <w:vAlign w:val="bottom"/>
          </w:tcPr>
          <w:p w:rsidR="0099113B" w:rsidRPr="00EB680E" w:rsidRDefault="0099113B" w:rsidP="0099113B">
            <w:pPr>
              <w:rPr>
                <w:rFonts w:cs="Times New Roman"/>
                <w:szCs w:val="24"/>
              </w:rPr>
            </w:pPr>
          </w:p>
        </w:tc>
      </w:tr>
      <w:tr w:rsidR="0099113B" w:rsidRPr="00EB680E" w:rsidTr="0099113B">
        <w:trPr>
          <w:trHeight w:val="404"/>
        </w:trPr>
        <w:tc>
          <w:tcPr>
            <w:tcW w:w="7308" w:type="dxa"/>
            <w:tcBorders>
              <w:top w:val="nil"/>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Text on education</w:t>
            </w:r>
          </w:p>
        </w:tc>
        <w:tc>
          <w:tcPr>
            <w:tcW w:w="1260" w:type="dxa"/>
            <w:tcBorders>
              <w:top w:val="nil"/>
              <w:bottom w:val="single" w:sz="4" w:space="0" w:color="auto"/>
            </w:tcBorders>
            <w:vAlign w:val="bottom"/>
          </w:tcPr>
          <w:p w:rsidR="0099113B" w:rsidRPr="00EB680E" w:rsidRDefault="0099113B" w:rsidP="0099113B">
            <w:pPr>
              <w:rPr>
                <w:rFonts w:cs="Times New Roman"/>
                <w:b/>
                <w:szCs w:val="24"/>
              </w:rPr>
            </w:pPr>
          </w:p>
        </w:tc>
        <w:tc>
          <w:tcPr>
            <w:tcW w:w="1322" w:type="dxa"/>
            <w:tcBorders>
              <w:top w:val="nil"/>
              <w:bottom w:val="single" w:sz="4" w:space="0" w:color="auto"/>
            </w:tcBorders>
            <w:vAlign w:val="bottom"/>
          </w:tcPr>
          <w:p w:rsidR="0099113B" w:rsidRPr="00EB680E" w:rsidRDefault="0099113B" w:rsidP="0099113B">
            <w:pPr>
              <w:rPr>
                <w:rFonts w:cs="Times New Roman"/>
                <w:b/>
                <w:szCs w:val="24"/>
              </w:rPr>
            </w:pPr>
          </w:p>
        </w:tc>
      </w:tr>
      <w:tr w:rsidR="0099113B" w:rsidRPr="00EB680E" w:rsidTr="0099113B">
        <w:tc>
          <w:tcPr>
            <w:tcW w:w="7308"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“Schools and education”</w:t>
            </w:r>
          </w:p>
        </w:tc>
        <w:tc>
          <w:tcPr>
            <w:tcW w:w="1260"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Sweden</w:t>
            </w:r>
          </w:p>
        </w:tc>
        <w:tc>
          <w:tcPr>
            <w:tcW w:w="1322" w:type="dxa"/>
            <w:tcBorders>
              <w:top w:val="single" w:sz="4" w:space="0" w:color="auto"/>
            </w:tcBorders>
            <w:vAlign w:val="bottom"/>
          </w:tcPr>
          <w:p w:rsidR="0099113B" w:rsidRPr="00EB680E" w:rsidRDefault="0099113B" w:rsidP="0099113B">
            <w:pPr>
              <w:rPr>
                <w:rFonts w:cs="Times New Roman"/>
                <w:szCs w:val="24"/>
              </w:rPr>
            </w:pPr>
          </w:p>
        </w:tc>
      </w:tr>
      <w:tr w:rsidR="0099113B" w:rsidRPr="00EB680E" w:rsidTr="0099113B">
        <w:tc>
          <w:tcPr>
            <w:tcW w:w="7308" w:type="dxa"/>
            <w:vAlign w:val="bottom"/>
          </w:tcPr>
          <w:p w:rsidR="0099113B" w:rsidRPr="00EB680E" w:rsidRDefault="0099113B" w:rsidP="0099113B">
            <w:pPr>
              <w:rPr>
                <w:rFonts w:cs="Times New Roman"/>
                <w:szCs w:val="24"/>
              </w:rPr>
            </w:pPr>
            <w:r w:rsidRPr="00EB680E">
              <w:rPr>
                <w:rFonts w:cs="Times New Roman"/>
                <w:szCs w:val="24"/>
              </w:rPr>
              <w:t>“Schools and education”</w:t>
            </w:r>
          </w:p>
        </w:tc>
        <w:tc>
          <w:tcPr>
            <w:tcW w:w="1260" w:type="dxa"/>
            <w:vAlign w:val="bottom"/>
          </w:tcPr>
          <w:p w:rsidR="0099113B" w:rsidRPr="00EB680E" w:rsidRDefault="0099113B" w:rsidP="0099113B">
            <w:pPr>
              <w:rPr>
                <w:rFonts w:cs="Times New Roman"/>
                <w:szCs w:val="24"/>
              </w:rPr>
            </w:pPr>
            <w:r w:rsidRPr="00EB680E">
              <w:rPr>
                <w:rFonts w:cs="Times New Roman"/>
                <w:szCs w:val="24"/>
              </w:rPr>
              <w:t>Norway</w:t>
            </w:r>
          </w:p>
        </w:tc>
        <w:tc>
          <w:tcPr>
            <w:tcW w:w="1322" w:type="dxa"/>
            <w:vAlign w:val="bottom"/>
          </w:tcPr>
          <w:p w:rsidR="0099113B" w:rsidRPr="00EB680E" w:rsidRDefault="0099113B" w:rsidP="0099113B">
            <w:pPr>
              <w:rPr>
                <w:rFonts w:cs="Times New Roman"/>
                <w:szCs w:val="24"/>
              </w:rPr>
            </w:pPr>
          </w:p>
        </w:tc>
      </w:tr>
      <w:tr w:rsidR="0099113B" w:rsidRPr="00EB680E" w:rsidTr="0099113B">
        <w:tc>
          <w:tcPr>
            <w:tcW w:w="7308" w:type="dxa"/>
            <w:tcBorders>
              <w:bottom w:val="nil"/>
            </w:tcBorders>
            <w:vAlign w:val="bottom"/>
          </w:tcPr>
          <w:p w:rsidR="0099113B" w:rsidRPr="00EB680E" w:rsidRDefault="0099113B" w:rsidP="0099113B">
            <w:pPr>
              <w:rPr>
                <w:rFonts w:cs="Times New Roman"/>
                <w:szCs w:val="24"/>
              </w:rPr>
            </w:pPr>
            <w:r w:rsidRPr="00EB680E">
              <w:rPr>
                <w:rFonts w:cs="Times New Roman"/>
                <w:szCs w:val="24"/>
              </w:rPr>
              <w:t>“Ensure good teaching in primary school”</w:t>
            </w:r>
          </w:p>
        </w:tc>
        <w:tc>
          <w:tcPr>
            <w:tcW w:w="1260" w:type="dxa"/>
            <w:tcBorders>
              <w:bottom w:val="nil"/>
            </w:tcBorders>
            <w:vAlign w:val="bottom"/>
          </w:tcPr>
          <w:p w:rsidR="0099113B" w:rsidRPr="00EB680E" w:rsidRDefault="0099113B" w:rsidP="0099113B">
            <w:pPr>
              <w:rPr>
                <w:rFonts w:cs="Times New Roman"/>
                <w:szCs w:val="24"/>
              </w:rPr>
            </w:pPr>
            <w:r w:rsidRPr="00EB680E">
              <w:rPr>
                <w:rFonts w:cs="Times New Roman"/>
                <w:szCs w:val="24"/>
              </w:rPr>
              <w:t>Denmark</w:t>
            </w:r>
          </w:p>
        </w:tc>
        <w:tc>
          <w:tcPr>
            <w:tcW w:w="1322" w:type="dxa"/>
            <w:tcBorders>
              <w:bottom w:val="nil"/>
            </w:tcBorders>
            <w:vAlign w:val="bottom"/>
          </w:tcPr>
          <w:p w:rsidR="0099113B" w:rsidRPr="00EB680E" w:rsidRDefault="0099113B" w:rsidP="0099113B">
            <w:pPr>
              <w:rPr>
                <w:rFonts w:cs="Times New Roman"/>
                <w:szCs w:val="24"/>
              </w:rPr>
            </w:pPr>
          </w:p>
        </w:tc>
      </w:tr>
      <w:tr w:rsidR="0099113B" w:rsidRPr="00EB680E" w:rsidTr="0099113B">
        <w:trPr>
          <w:trHeight w:val="458"/>
        </w:trPr>
        <w:tc>
          <w:tcPr>
            <w:tcW w:w="7308" w:type="dxa"/>
            <w:tcBorders>
              <w:top w:val="nil"/>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Text on EU</w:t>
            </w:r>
          </w:p>
        </w:tc>
        <w:tc>
          <w:tcPr>
            <w:tcW w:w="1260" w:type="dxa"/>
            <w:tcBorders>
              <w:top w:val="nil"/>
              <w:bottom w:val="single" w:sz="4" w:space="0" w:color="auto"/>
            </w:tcBorders>
            <w:vAlign w:val="bottom"/>
          </w:tcPr>
          <w:p w:rsidR="0099113B" w:rsidRPr="00EB680E" w:rsidRDefault="0099113B" w:rsidP="0099113B">
            <w:pPr>
              <w:rPr>
                <w:rFonts w:cs="Times New Roman"/>
                <w:b/>
                <w:szCs w:val="24"/>
              </w:rPr>
            </w:pPr>
          </w:p>
        </w:tc>
        <w:tc>
          <w:tcPr>
            <w:tcW w:w="1322" w:type="dxa"/>
            <w:tcBorders>
              <w:top w:val="nil"/>
              <w:bottom w:val="single" w:sz="4" w:space="0" w:color="auto"/>
            </w:tcBorders>
            <w:vAlign w:val="bottom"/>
          </w:tcPr>
          <w:p w:rsidR="0099113B" w:rsidRPr="00EB680E" w:rsidRDefault="0099113B" w:rsidP="0099113B">
            <w:pPr>
              <w:rPr>
                <w:rFonts w:cs="Times New Roman"/>
                <w:b/>
                <w:szCs w:val="24"/>
              </w:rPr>
            </w:pPr>
          </w:p>
        </w:tc>
      </w:tr>
      <w:tr w:rsidR="0099113B" w:rsidRPr="00EB680E" w:rsidTr="0099113B">
        <w:tc>
          <w:tcPr>
            <w:tcW w:w="7308"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“Norway’s relationship to the EU”</w:t>
            </w:r>
          </w:p>
        </w:tc>
        <w:tc>
          <w:tcPr>
            <w:tcW w:w="1260"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Norway</w:t>
            </w:r>
          </w:p>
        </w:tc>
        <w:tc>
          <w:tcPr>
            <w:tcW w:w="1322" w:type="dxa"/>
            <w:tcBorders>
              <w:top w:val="single" w:sz="4" w:space="0" w:color="auto"/>
            </w:tcBorders>
            <w:vAlign w:val="bottom"/>
          </w:tcPr>
          <w:p w:rsidR="0099113B" w:rsidRPr="00EB680E" w:rsidRDefault="0099113B" w:rsidP="0099113B">
            <w:pPr>
              <w:rPr>
                <w:rFonts w:cs="Times New Roman"/>
                <w:szCs w:val="24"/>
              </w:rPr>
            </w:pPr>
          </w:p>
        </w:tc>
      </w:tr>
      <w:tr w:rsidR="0099113B" w:rsidRPr="00EB680E" w:rsidTr="0099113B">
        <w:tc>
          <w:tcPr>
            <w:tcW w:w="7308" w:type="dxa"/>
            <w:tcBorders>
              <w:bottom w:val="nil"/>
            </w:tcBorders>
            <w:vAlign w:val="bottom"/>
          </w:tcPr>
          <w:p w:rsidR="0099113B" w:rsidRPr="00EB680E" w:rsidRDefault="0099113B" w:rsidP="0099113B">
            <w:pPr>
              <w:rPr>
                <w:rFonts w:cs="Times New Roman"/>
                <w:szCs w:val="24"/>
              </w:rPr>
            </w:pPr>
            <w:r w:rsidRPr="00EB680E">
              <w:rPr>
                <w:rFonts w:cs="Times New Roman"/>
                <w:szCs w:val="24"/>
              </w:rPr>
              <w:t>“Take care of Denmark’s interests in the EU”</w:t>
            </w:r>
          </w:p>
        </w:tc>
        <w:tc>
          <w:tcPr>
            <w:tcW w:w="1260" w:type="dxa"/>
            <w:tcBorders>
              <w:bottom w:val="nil"/>
            </w:tcBorders>
            <w:vAlign w:val="bottom"/>
          </w:tcPr>
          <w:p w:rsidR="0099113B" w:rsidRPr="00EB680E" w:rsidRDefault="0099113B" w:rsidP="0099113B">
            <w:pPr>
              <w:rPr>
                <w:rFonts w:cs="Times New Roman"/>
                <w:szCs w:val="24"/>
              </w:rPr>
            </w:pPr>
            <w:r w:rsidRPr="00EB680E">
              <w:rPr>
                <w:rFonts w:cs="Times New Roman"/>
                <w:szCs w:val="24"/>
              </w:rPr>
              <w:t>Denmark</w:t>
            </w:r>
          </w:p>
        </w:tc>
        <w:tc>
          <w:tcPr>
            <w:tcW w:w="1322" w:type="dxa"/>
            <w:tcBorders>
              <w:bottom w:val="nil"/>
            </w:tcBorders>
            <w:vAlign w:val="bottom"/>
          </w:tcPr>
          <w:p w:rsidR="0099113B" w:rsidRPr="00EB680E" w:rsidRDefault="0099113B" w:rsidP="0099113B">
            <w:pPr>
              <w:rPr>
                <w:rFonts w:cs="Times New Roman"/>
                <w:szCs w:val="24"/>
              </w:rPr>
            </w:pPr>
          </w:p>
        </w:tc>
      </w:tr>
      <w:tr w:rsidR="0099113B" w:rsidRPr="00EB680E" w:rsidTr="0099113B">
        <w:trPr>
          <w:trHeight w:val="387"/>
        </w:trPr>
        <w:tc>
          <w:tcPr>
            <w:tcW w:w="7308" w:type="dxa"/>
            <w:tcBorders>
              <w:top w:val="nil"/>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Text on environment</w:t>
            </w:r>
          </w:p>
        </w:tc>
        <w:tc>
          <w:tcPr>
            <w:tcW w:w="1260" w:type="dxa"/>
            <w:tcBorders>
              <w:top w:val="nil"/>
              <w:bottom w:val="single" w:sz="4" w:space="0" w:color="auto"/>
            </w:tcBorders>
            <w:vAlign w:val="bottom"/>
          </w:tcPr>
          <w:p w:rsidR="0099113B" w:rsidRPr="00EB680E" w:rsidRDefault="0099113B" w:rsidP="0099113B">
            <w:pPr>
              <w:rPr>
                <w:rFonts w:cs="Times New Roman"/>
                <w:b/>
                <w:szCs w:val="24"/>
              </w:rPr>
            </w:pPr>
          </w:p>
        </w:tc>
        <w:tc>
          <w:tcPr>
            <w:tcW w:w="1322" w:type="dxa"/>
            <w:tcBorders>
              <w:top w:val="nil"/>
              <w:bottom w:val="single" w:sz="4" w:space="0" w:color="auto"/>
            </w:tcBorders>
            <w:vAlign w:val="bottom"/>
          </w:tcPr>
          <w:p w:rsidR="0099113B" w:rsidRPr="00EB680E" w:rsidRDefault="0099113B" w:rsidP="0099113B">
            <w:pPr>
              <w:rPr>
                <w:rFonts w:cs="Times New Roman"/>
                <w:b/>
                <w:szCs w:val="24"/>
              </w:rPr>
            </w:pPr>
          </w:p>
        </w:tc>
      </w:tr>
      <w:tr w:rsidR="0099113B" w:rsidRPr="00EB680E" w:rsidTr="0099113B">
        <w:tc>
          <w:tcPr>
            <w:tcW w:w="7308"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“Protecting the environment”</w:t>
            </w:r>
          </w:p>
        </w:tc>
        <w:tc>
          <w:tcPr>
            <w:tcW w:w="1260"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Canada</w:t>
            </w:r>
          </w:p>
        </w:tc>
        <w:tc>
          <w:tcPr>
            <w:tcW w:w="1322" w:type="dxa"/>
            <w:tcBorders>
              <w:top w:val="single" w:sz="4" w:space="0" w:color="auto"/>
            </w:tcBorders>
            <w:vAlign w:val="bottom"/>
          </w:tcPr>
          <w:p w:rsidR="0099113B" w:rsidRPr="00EB680E" w:rsidRDefault="0099113B" w:rsidP="0099113B">
            <w:pPr>
              <w:rPr>
                <w:rFonts w:cs="Times New Roman"/>
                <w:szCs w:val="24"/>
              </w:rPr>
            </w:pPr>
          </w:p>
        </w:tc>
      </w:tr>
      <w:tr w:rsidR="0099113B" w:rsidRPr="00EB680E" w:rsidTr="0099113B">
        <w:tc>
          <w:tcPr>
            <w:tcW w:w="7308" w:type="dxa"/>
            <w:tcBorders>
              <w:bottom w:val="nil"/>
            </w:tcBorders>
            <w:vAlign w:val="bottom"/>
          </w:tcPr>
          <w:p w:rsidR="0099113B" w:rsidRPr="00EB680E" w:rsidRDefault="0099113B" w:rsidP="0099113B">
            <w:pPr>
              <w:rPr>
                <w:rFonts w:cs="Times New Roman"/>
                <w:szCs w:val="24"/>
              </w:rPr>
            </w:pPr>
            <w:r w:rsidRPr="00EB680E">
              <w:rPr>
                <w:rFonts w:cs="Times New Roman"/>
                <w:szCs w:val="24"/>
              </w:rPr>
              <w:t>“Protect the environment”</w:t>
            </w:r>
          </w:p>
        </w:tc>
        <w:tc>
          <w:tcPr>
            <w:tcW w:w="1260" w:type="dxa"/>
            <w:tcBorders>
              <w:bottom w:val="nil"/>
            </w:tcBorders>
            <w:vAlign w:val="bottom"/>
          </w:tcPr>
          <w:p w:rsidR="0099113B" w:rsidRPr="00EB680E" w:rsidRDefault="0099113B" w:rsidP="0099113B">
            <w:pPr>
              <w:rPr>
                <w:rFonts w:cs="Times New Roman"/>
                <w:szCs w:val="24"/>
              </w:rPr>
            </w:pPr>
            <w:r w:rsidRPr="00EB680E">
              <w:rPr>
                <w:rFonts w:cs="Times New Roman"/>
                <w:szCs w:val="24"/>
              </w:rPr>
              <w:t>Denmark</w:t>
            </w:r>
          </w:p>
        </w:tc>
        <w:tc>
          <w:tcPr>
            <w:tcW w:w="1322" w:type="dxa"/>
            <w:tcBorders>
              <w:bottom w:val="nil"/>
            </w:tcBorders>
            <w:vAlign w:val="bottom"/>
          </w:tcPr>
          <w:p w:rsidR="0099113B" w:rsidRPr="00EB680E" w:rsidRDefault="0099113B" w:rsidP="0099113B">
            <w:pPr>
              <w:rPr>
                <w:rFonts w:cs="Times New Roman"/>
                <w:szCs w:val="24"/>
              </w:rPr>
            </w:pPr>
          </w:p>
        </w:tc>
      </w:tr>
      <w:tr w:rsidR="0099113B" w:rsidRPr="00EB680E" w:rsidTr="0099113B">
        <w:trPr>
          <w:trHeight w:val="360"/>
        </w:trPr>
        <w:tc>
          <w:tcPr>
            <w:tcW w:w="7308" w:type="dxa"/>
            <w:tcBorders>
              <w:top w:val="nil"/>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Text on health</w:t>
            </w:r>
          </w:p>
        </w:tc>
        <w:tc>
          <w:tcPr>
            <w:tcW w:w="1260" w:type="dxa"/>
            <w:tcBorders>
              <w:top w:val="nil"/>
              <w:bottom w:val="single" w:sz="4" w:space="0" w:color="auto"/>
            </w:tcBorders>
            <w:vAlign w:val="bottom"/>
          </w:tcPr>
          <w:p w:rsidR="0099113B" w:rsidRPr="00EB680E" w:rsidRDefault="0099113B" w:rsidP="0099113B">
            <w:pPr>
              <w:rPr>
                <w:rFonts w:cs="Times New Roman"/>
                <w:b/>
                <w:szCs w:val="24"/>
              </w:rPr>
            </w:pPr>
          </w:p>
        </w:tc>
        <w:tc>
          <w:tcPr>
            <w:tcW w:w="1322" w:type="dxa"/>
            <w:tcBorders>
              <w:top w:val="nil"/>
              <w:bottom w:val="single" w:sz="4" w:space="0" w:color="auto"/>
            </w:tcBorders>
            <w:vAlign w:val="bottom"/>
          </w:tcPr>
          <w:p w:rsidR="0099113B" w:rsidRPr="00EB680E" w:rsidRDefault="0099113B" w:rsidP="0099113B">
            <w:pPr>
              <w:rPr>
                <w:rFonts w:cs="Times New Roman"/>
                <w:b/>
                <w:szCs w:val="24"/>
              </w:rPr>
            </w:pPr>
          </w:p>
        </w:tc>
      </w:tr>
      <w:tr w:rsidR="0099113B" w:rsidRPr="00EB680E" w:rsidTr="0099113B">
        <w:tc>
          <w:tcPr>
            <w:tcW w:w="7308"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“Improving health care”</w:t>
            </w:r>
          </w:p>
        </w:tc>
        <w:tc>
          <w:tcPr>
            <w:tcW w:w="1260" w:type="dxa"/>
            <w:tcBorders>
              <w:top w:val="single" w:sz="4" w:space="0" w:color="auto"/>
            </w:tcBorders>
            <w:vAlign w:val="bottom"/>
          </w:tcPr>
          <w:p w:rsidR="0099113B" w:rsidRPr="00EB680E" w:rsidRDefault="0099113B" w:rsidP="0099113B">
            <w:pPr>
              <w:rPr>
                <w:rFonts w:cs="Times New Roman"/>
                <w:szCs w:val="24"/>
              </w:rPr>
            </w:pPr>
            <w:r w:rsidRPr="00EB680E">
              <w:rPr>
                <w:rFonts w:cs="Times New Roman"/>
                <w:szCs w:val="24"/>
              </w:rPr>
              <w:t>Canada</w:t>
            </w:r>
          </w:p>
        </w:tc>
        <w:tc>
          <w:tcPr>
            <w:tcW w:w="1322" w:type="dxa"/>
            <w:tcBorders>
              <w:top w:val="single" w:sz="4" w:space="0" w:color="auto"/>
            </w:tcBorders>
            <w:vAlign w:val="bottom"/>
          </w:tcPr>
          <w:p w:rsidR="0099113B" w:rsidRPr="00EB680E" w:rsidRDefault="0099113B" w:rsidP="0099113B">
            <w:pPr>
              <w:rPr>
                <w:rFonts w:cs="Times New Roman"/>
                <w:szCs w:val="24"/>
              </w:rPr>
            </w:pPr>
          </w:p>
        </w:tc>
      </w:tr>
      <w:tr w:rsidR="0099113B" w:rsidRPr="00EB680E" w:rsidTr="0099113B">
        <w:tc>
          <w:tcPr>
            <w:tcW w:w="7308" w:type="dxa"/>
            <w:tcBorders>
              <w:bottom w:val="nil"/>
            </w:tcBorders>
            <w:vAlign w:val="bottom"/>
          </w:tcPr>
          <w:p w:rsidR="0099113B" w:rsidRPr="00EB680E" w:rsidRDefault="0099113B" w:rsidP="0099113B">
            <w:pPr>
              <w:rPr>
                <w:rFonts w:cs="Times New Roman"/>
                <w:szCs w:val="24"/>
              </w:rPr>
            </w:pPr>
            <w:r w:rsidRPr="00EB680E">
              <w:rPr>
                <w:rFonts w:cs="Times New Roman"/>
                <w:szCs w:val="24"/>
              </w:rPr>
              <w:t>“Ensure proper health care”</w:t>
            </w:r>
          </w:p>
        </w:tc>
        <w:tc>
          <w:tcPr>
            <w:tcW w:w="1260" w:type="dxa"/>
            <w:tcBorders>
              <w:bottom w:val="nil"/>
            </w:tcBorders>
            <w:vAlign w:val="bottom"/>
          </w:tcPr>
          <w:p w:rsidR="0099113B" w:rsidRPr="00EB680E" w:rsidRDefault="0099113B" w:rsidP="0099113B">
            <w:pPr>
              <w:rPr>
                <w:rFonts w:cs="Times New Roman"/>
                <w:szCs w:val="24"/>
              </w:rPr>
            </w:pPr>
            <w:r w:rsidRPr="00EB680E">
              <w:rPr>
                <w:rFonts w:cs="Times New Roman"/>
                <w:szCs w:val="24"/>
              </w:rPr>
              <w:t>Denmark</w:t>
            </w:r>
          </w:p>
        </w:tc>
        <w:tc>
          <w:tcPr>
            <w:tcW w:w="1322" w:type="dxa"/>
            <w:tcBorders>
              <w:bottom w:val="nil"/>
            </w:tcBorders>
            <w:vAlign w:val="bottom"/>
          </w:tcPr>
          <w:p w:rsidR="0099113B" w:rsidRPr="00EB680E" w:rsidRDefault="0099113B" w:rsidP="0099113B">
            <w:pPr>
              <w:rPr>
                <w:rFonts w:cs="Times New Roman"/>
                <w:szCs w:val="24"/>
              </w:rPr>
            </w:pPr>
          </w:p>
        </w:tc>
      </w:tr>
      <w:tr w:rsidR="0099113B" w:rsidRPr="00EB680E" w:rsidTr="0099113B">
        <w:trPr>
          <w:trHeight w:val="432"/>
        </w:trPr>
        <w:tc>
          <w:tcPr>
            <w:tcW w:w="7308" w:type="dxa"/>
            <w:tcBorders>
              <w:top w:val="nil"/>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Text on social security</w:t>
            </w:r>
          </w:p>
        </w:tc>
        <w:tc>
          <w:tcPr>
            <w:tcW w:w="1260" w:type="dxa"/>
            <w:tcBorders>
              <w:top w:val="nil"/>
              <w:bottom w:val="single" w:sz="4" w:space="0" w:color="auto"/>
            </w:tcBorders>
            <w:vAlign w:val="bottom"/>
          </w:tcPr>
          <w:p w:rsidR="0099113B" w:rsidRPr="00EB680E" w:rsidRDefault="0099113B" w:rsidP="0099113B">
            <w:pPr>
              <w:rPr>
                <w:rFonts w:cs="Times New Roman"/>
                <w:b/>
                <w:szCs w:val="24"/>
              </w:rPr>
            </w:pPr>
          </w:p>
        </w:tc>
        <w:tc>
          <w:tcPr>
            <w:tcW w:w="1322" w:type="dxa"/>
            <w:tcBorders>
              <w:top w:val="nil"/>
              <w:bottom w:val="single" w:sz="4" w:space="0" w:color="auto"/>
            </w:tcBorders>
            <w:vAlign w:val="bottom"/>
          </w:tcPr>
          <w:p w:rsidR="0099113B" w:rsidRPr="00EB680E" w:rsidRDefault="0099113B" w:rsidP="0099113B">
            <w:pPr>
              <w:rPr>
                <w:rFonts w:cs="Times New Roman"/>
                <w:b/>
                <w:szCs w:val="24"/>
              </w:rPr>
            </w:pPr>
          </w:p>
        </w:tc>
      </w:tr>
      <w:tr w:rsidR="0099113B" w:rsidRPr="00EB680E" w:rsidTr="0099113B">
        <w:tc>
          <w:tcPr>
            <w:tcW w:w="7308" w:type="dxa"/>
            <w:tcBorders>
              <w:top w:val="single" w:sz="4" w:space="0" w:color="auto"/>
              <w:bottom w:val="nil"/>
            </w:tcBorders>
            <w:vAlign w:val="bottom"/>
          </w:tcPr>
          <w:p w:rsidR="0099113B" w:rsidRPr="00EB680E" w:rsidRDefault="0099113B" w:rsidP="0099113B">
            <w:pPr>
              <w:rPr>
                <w:rFonts w:cs="Times New Roman"/>
                <w:szCs w:val="24"/>
              </w:rPr>
            </w:pPr>
            <w:r w:rsidRPr="00EB680E">
              <w:rPr>
                <w:rFonts w:cs="Times New Roman"/>
                <w:szCs w:val="24"/>
              </w:rPr>
              <w:t>“Improving social welfare programmes”</w:t>
            </w:r>
          </w:p>
        </w:tc>
        <w:tc>
          <w:tcPr>
            <w:tcW w:w="1260" w:type="dxa"/>
            <w:tcBorders>
              <w:top w:val="single" w:sz="4" w:space="0" w:color="auto"/>
              <w:bottom w:val="nil"/>
            </w:tcBorders>
            <w:vAlign w:val="bottom"/>
          </w:tcPr>
          <w:p w:rsidR="0099113B" w:rsidRPr="00EB680E" w:rsidRDefault="0099113B" w:rsidP="0099113B">
            <w:pPr>
              <w:rPr>
                <w:rFonts w:cs="Times New Roman"/>
                <w:szCs w:val="24"/>
              </w:rPr>
            </w:pPr>
            <w:r w:rsidRPr="00EB680E">
              <w:rPr>
                <w:rFonts w:cs="Times New Roman"/>
                <w:szCs w:val="24"/>
              </w:rPr>
              <w:t>Canada</w:t>
            </w:r>
          </w:p>
        </w:tc>
        <w:tc>
          <w:tcPr>
            <w:tcW w:w="1322" w:type="dxa"/>
            <w:tcBorders>
              <w:top w:val="single" w:sz="4" w:space="0" w:color="auto"/>
              <w:bottom w:val="nil"/>
            </w:tcBorders>
            <w:vAlign w:val="bottom"/>
          </w:tcPr>
          <w:p w:rsidR="0099113B" w:rsidRPr="00EB680E" w:rsidRDefault="0099113B" w:rsidP="0099113B">
            <w:pPr>
              <w:rPr>
                <w:rFonts w:cs="Times New Roman"/>
                <w:szCs w:val="24"/>
              </w:rPr>
            </w:pPr>
          </w:p>
        </w:tc>
      </w:tr>
      <w:tr w:rsidR="0099113B" w:rsidRPr="00EB680E" w:rsidTr="0099113B">
        <w:trPr>
          <w:trHeight w:val="360"/>
        </w:trPr>
        <w:tc>
          <w:tcPr>
            <w:tcW w:w="7308" w:type="dxa"/>
            <w:tcBorders>
              <w:top w:val="nil"/>
              <w:bottom w:val="single" w:sz="4" w:space="0" w:color="auto"/>
            </w:tcBorders>
            <w:vAlign w:val="bottom"/>
          </w:tcPr>
          <w:p w:rsidR="0099113B" w:rsidRPr="00EB680E" w:rsidRDefault="0099113B" w:rsidP="0099113B">
            <w:pPr>
              <w:rPr>
                <w:rFonts w:cs="Times New Roman"/>
                <w:b/>
                <w:szCs w:val="24"/>
              </w:rPr>
            </w:pPr>
            <w:r w:rsidRPr="00EB680E">
              <w:rPr>
                <w:rFonts w:cs="Times New Roman"/>
                <w:b/>
                <w:szCs w:val="24"/>
              </w:rPr>
              <w:t>Text on elderly care</w:t>
            </w:r>
          </w:p>
        </w:tc>
        <w:tc>
          <w:tcPr>
            <w:tcW w:w="1260" w:type="dxa"/>
            <w:tcBorders>
              <w:top w:val="nil"/>
              <w:bottom w:val="single" w:sz="4" w:space="0" w:color="auto"/>
            </w:tcBorders>
            <w:vAlign w:val="bottom"/>
          </w:tcPr>
          <w:p w:rsidR="0099113B" w:rsidRPr="00EB680E" w:rsidRDefault="0099113B" w:rsidP="0099113B">
            <w:pPr>
              <w:rPr>
                <w:rFonts w:cs="Times New Roman"/>
                <w:b/>
                <w:szCs w:val="24"/>
              </w:rPr>
            </w:pPr>
          </w:p>
        </w:tc>
        <w:tc>
          <w:tcPr>
            <w:tcW w:w="1322" w:type="dxa"/>
            <w:tcBorders>
              <w:top w:val="nil"/>
              <w:bottom w:val="single" w:sz="4" w:space="0" w:color="auto"/>
            </w:tcBorders>
            <w:vAlign w:val="bottom"/>
          </w:tcPr>
          <w:p w:rsidR="0099113B" w:rsidRPr="00EB680E" w:rsidRDefault="0099113B" w:rsidP="0099113B">
            <w:pPr>
              <w:rPr>
                <w:rFonts w:cs="Times New Roman"/>
                <w:b/>
                <w:szCs w:val="24"/>
              </w:rPr>
            </w:pPr>
          </w:p>
        </w:tc>
      </w:tr>
      <w:tr w:rsidR="0099113B" w:rsidRPr="00EB680E" w:rsidTr="0099113B">
        <w:tc>
          <w:tcPr>
            <w:tcW w:w="7308" w:type="dxa"/>
            <w:tcBorders>
              <w:top w:val="single" w:sz="4" w:space="0" w:color="auto"/>
              <w:bottom w:val="single" w:sz="4" w:space="0" w:color="auto"/>
            </w:tcBorders>
            <w:vAlign w:val="bottom"/>
          </w:tcPr>
          <w:p w:rsidR="0099113B" w:rsidRPr="00EB680E" w:rsidRDefault="0099113B" w:rsidP="0099113B">
            <w:pPr>
              <w:rPr>
                <w:rFonts w:cs="Times New Roman"/>
                <w:szCs w:val="24"/>
              </w:rPr>
            </w:pPr>
            <w:r w:rsidRPr="00EB680E">
              <w:rPr>
                <w:rFonts w:cs="Times New Roman"/>
                <w:szCs w:val="24"/>
              </w:rPr>
              <w:t>“Ensure acceptable conditions for elderly people”</w:t>
            </w:r>
          </w:p>
        </w:tc>
        <w:tc>
          <w:tcPr>
            <w:tcW w:w="1260" w:type="dxa"/>
            <w:tcBorders>
              <w:top w:val="single" w:sz="4" w:space="0" w:color="auto"/>
              <w:bottom w:val="single" w:sz="4" w:space="0" w:color="auto"/>
            </w:tcBorders>
            <w:vAlign w:val="bottom"/>
          </w:tcPr>
          <w:p w:rsidR="0099113B" w:rsidRPr="00EB680E" w:rsidRDefault="0099113B" w:rsidP="0099113B">
            <w:pPr>
              <w:rPr>
                <w:rFonts w:cs="Times New Roman"/>
                <w:szCs w:val="24"/>
              </w:rPr>
            </w:pPr>
            <w:r w:rsidRPr="00EB680E">
              <w:rPr>
                <w:rFonts w:cs="Times New Roman"/>
                <w:szCs w:val="24"/>
              </w:rPr>
              <w:t>Danmark</w:t>
            </w:r>
          </w:p>
        </w:tc>
        <w:tc>
          <w:tcPr>
            <w:tcW w:w="1322" w:type="dxa"/>
            <w:tcBorders>
              <w:top w:val="single" w:sz="4" w:space="0" w:color="auto"/>
              <w:bottom w:val="single" w:sz="4" w:space="0" w:color="auto"/>
            </w:tcBorders>
            <w:vAlign w:val="bottom"/>
          </w:tcPr>
          <w:p w:rsidR="0099113B" w:rsidRPr="00EB680E" w:rsidRDefault="0099113B" w:rsidP="0099113B">
            <w:pPr>
              <w:rPr>
                <w:rFonts w:cs="Times New Roman"/>
                <w:szCs w:val="24"/>
              </w:rPr>
            </w:pPr>
          </w:p>
        </w:tc>
      </w:tr>
    </w:tbl>
    <w:p w:rsidR="0099113B" w:rsidRPr="00EB680E" w:rsidRDefault="0099113B" w:rsidP="0099113B">
      <w:pPr>
        <w:jc w:val="both"/>
        <w:rPr>
          <w:rFonts w:cs="Times New Roman"/>
          <w:szCs w:val="24"/>
        </w:rPr>
        <w:sectPr w:rsidR="0099113B" w:rsidRPr="00EB680E" w:rsidSect="00E50260">
          <w:footerReference w:type="default" r:id="rId13"/>
          <w:pgSz w:w="12240" w:h="15840"/>
          <w:pgMar w:top="1440" w:right="1440" w:bottom="1440" w:left="1440" w:header="720" w:footer="720" w:gutter="0"/>
          <w:cols w:space="720"/>
          <w:docGrid w:linePitch="360"/>
        </w:sectPr>
      </w:pPr>
    </w:p>
    <w:p w:rsidR="0099113B" w:rsidRPr="00EB680E" w:rsidRDefault="0099113B" w:rsidP="0099113B">
      <w:pPr>
        <w:spacing w:line="240" w:lineRule="auto"/>
        <w:jc w:val="both"/>
        <w:rPr>
          <w:rFonts w:cs="Times New Roman"/>
          <w:szCs w:val="24"/>
        </w:rPr>
      </w:pPr>
      <w:r w:rsidRPr="00EB680E">
        <w:rPr>
          <w:rFonts w:cs="Times New Roman"/>
          <w:b/>
          <w:szCs w:val="24"/>
        </w:rPr>
        <w:t>Table A3a</w:t>
      </w:r>
      <w:r w:rsidRPr="00EB680E">
        <w:rPr>
          <w:rFonts w:cs="Times New Roman"/>
          <w:szCs w:val="24"/>
        </w:rPr>
        <w:t xml:space="preserve">. Estimates of issue ownership across countries and the entire period. </w:t>
      </w:r>
    </w:p>
    <w:tbl>
      <w:tblPr>
        <w:tblW w:w="15170" w:type="dxa"/>
        <w:tblInd w:w="-72" w:type="dxa"/>
        <w:tblLayout w:type="fixed"/>
        <w:tblLook w:val="0000" w:firstRow="0" w:lastRow="0" w:firstColumn="0" w:lastColumn="0" w:noHBand="0" w:noVBand="0"/>
      </w:tblPr>
      <w:tblGrid>
        <w:gridCol w:w="1523"/>
        <w:gridCol w:w="1229"/>
        <w:gridCol w:w="1088"/>
        <w:gridCol w:w="1229"/>
        <w:gridCol w:w="1229"/>
        <w:gridCol w:w="1088"/>
        <w:gridCol w:w="1088"/>
        <w:gridCol w:w="1088"/>
        <w:gridCol w:w="1088"/>
        <w:gridCol w:w="1088"/>
        <w:gridCol w:w="1256"/>
        <w:gridCol w:w="1088"/>
        <w:gridCol w:w="1088"/>
      </w:tblGrid>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3546" w:type="dxa"/>
            <w:gridSpan w:val="3"/>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Asylum/immigr</w:t>
            </w:r>
            <w:r>
              <w:rPr>
                <w:rFonts w:cs="Times New Roman"/>
                <w:szCs w:val="24"/>
              </w:rPr>
              <w:t>ation</w:t>
            </w:r>
          </w:p>
        </w:tc>
        <w:tc>
          <w:tcPr>
            <w:tcW w:w="3405"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Law/order</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EU</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56"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Tax</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r>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229"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29"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56"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r>
      <w:tr w:rsidR="0099113B" w:rsidRPr="00EB680E" w:rsidTr="0099113B">
        <w:trPr>
          <w:trHeight w:val="684"/>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Constant</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30.65</w:t>
            </w:r>
            <w:r w:rsidRPr="00EB680E">
              <w:rPr>
                <w:rFonts w:cs="Times New Roman"/>
                <w:szCs w:val="24"/>
                <w:vertAlign w:val="superscript"/>
              </w:rPr>
              <w:t>***</w:t>
            </w:r>
            <w:r w:rsidRPr="00EB680E">
              <w:rPr>
                <w:rFonts w:cs="Times New Roman"/>
                <w:szCs w:val="24"/>
              </w:rPr>
              <w:br/>
              <w:t>(3.19)</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35.97</w:t>
            </w:r>
            <w:r w:rsidRPr="00EB680E">
              <w:rPr>
                <w:rFonts w:cs="Times New Roman"/>
                <w:szCs w:val="24"/>
                <w:vertAlign w:val="superscript"/>
              </w:rPr>
              <w:t>***</w:t>
            </w:r>
            <w:r w:rsidRPr="00EB680E">
              <w:rPr>
                <w:rFonts w:cs="Times New Roman"/>
                <w:szCs w:val="24"/>
              </w:rPr>
              <w:br/>
              <w:t>(2.69)</w:t>
            </w:r>
          </w:p>
        </w:tc>
        <w:tc>
          <w:tcPr>
            <w:tcW w:w="1229"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38.65</w:t>
            </w:r>
            <w:r w:rsidRPr="00EB680E">
              <w:rPr>
                <w:rFonts w:cs="Times New Roman"/>
                <w:szCs w:val="24"/>
                <w:vertAlign w:val="superscript"/>
              </w:rPr>
              <w:t>***</w:t>
            </w:r>
            <w:r w:rsidRPr="00EB680E">
              <w:rPr>
                <w:rFonts w:cs="Times New Roman"/>
                <w:szCs w:val="24"/>
              </w:rPr>
              <w:br/>
              <w:t>(2.92)</w:t>
            </w:r>
          </w:p>
        </w:tc>
        <w:tc>
          <w:tcPr>
            <w:tcW w:w="1229"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27.17</w:t>
            </w:r>
            <w:r w:rsidRPr="00EB680E">
              <w:rPr>
                <w:rFonts w:cs="Times New Roman"/>
                <w:szCs w:val="24"/>
                <w:vertAlign w:val="superscript"/>
              </w:rPr>
              <w:t>***</w:t>
            </w:r>
            <w:r w:rsidRPr="00EB680E">
              <w:rPr>
                <w:rFonts w:cs="Times New Roman"/>
                <w:szCs w:val="24"/>
              </w:rPr>
              <w:br/>
              <w:t>(3.03)</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29.23</w:t>
            </w:r>
            <w:r w:rsidRPr="00EB680E">
              <w:rPr>
                <w:rFonts w:cs="Times New Roman"/>
                <w:szCs w:val="24"/>
                <w:vertAlign w:val="superscript"/>
              </w:rPr>
              <w:t>***</w:t>
            </w:r>
            <w:r w:rsidRPr="00EB680E">
              <w:rPr>
                <w:rFonts w:cs="Times New Roman"/>
                <w:szCs w:val="24"/>
              </w:rPr>
              <w:br/>
              <w:t>(2.72)</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36.91</w:t>
            </w:r>
            <w:r w:rsidRPr="00EB680E">
              <w:rPr>
                <w:rFonts w:cs="Times New Roman"/>
                <w:szCs w:val="24"/>
                <w:vertAlign w:val="superscript"/>
              </w:rPr>
              <w:t>***</w:t>
            </w:r>
            <w:r w:rsidRPr="00EB680E">
              <w:rPr>
                <w:rFonts w:cs="Times New Roman"/>
                <w:szCs w:val="24"/>
              </w:rPr>
              <w:br/>
              <w:t>(3.70)</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21.86</w:t>
            </w:r>
            <w:r w:rsidRPr="00EB680E">
              <w:rPr>
                <w:rFonts w:cs="Times New Roman"/>
                <w:szCs w:val="24"/>
                <w:vertAlign w:val="superscript"/>
              </w:rPr>
              <w:t>***</w:t>
            </w:r>
            <w:r w:rsidRPr="00EB680E">
              <w:rPr>
                <w:rFonts w:cs="Times New Roman"/>
                <w:szCs w:val="24"/>
              </w:rPr>
              <w:br/>
              <w:t>(3.93)</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24.71</w:t>
            </w:r>
            <w:r w:rsidRPr="00EB680E">
              <w:rPr>
                <w:rFonts w:cs="Times New Roman"/>
                <w:szCs w:val="24"/>
                <w:vertAlign w:val="superscript"/>
              </w:rPr>
              <w:t>***</w:t>
            </w:r>
            <w:r w:rsidRPr="00EB680E">
              <w:rPr>
                <w:rFonts w:cs="Times New Roman"/>
                <w:szCs w:val="24"/>
              </w:rPr>
              <w:br/>
              <w:t>(3.58)</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28.37</w:t>
            </w:r>
            <w:r w:rsidRPr="00EB680E">
              <w:rPr>
                <w:rFonts w:cs="Times New Roman"/>
                <w:szCs w:val="24"/>
                <w:vertAlign w:val="superscript"/>
              </w:rPr>
              <w:t>***</w:t>
            </w:r>
            <w:r w:rsidRPr="00EB680E">
              <w:rPr>
                <w:rFonts w:cs="Times New Roman"/>
                <w:szCs w:val="24"/>
              </w:rPr>
              <w:br/>
              <w:t>(3.48)</w:t>
            </w:r>
          </w:p>
        </w:tc>
        <w:tc>
          <w:tcPr>
            <w:tcW w:w="1256"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11.69</w:t>
            </w:r>
            <w:r w:rsidRPr="00EB680E">
              <w:rPr>
                <w:rFonts w:cs="Times New Roman"/>
                <w:szCs w:val="24"/>
                <w:vertAlign w:val="superscript"/>
              </w:rPr>
              <w:t>***</w:t>
            </w:r>
            <w:r w:rsidRPr="00EB680E">
              <w:rPr>
                <w:rFonts w:cs="Times New Roman"/>
                <w:szCs w:val="24"/>
              </w:rPr>
              <w:br/>
              <w:t>(2.93)</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13.92</w:t>
            </w:r>
            <w:r w:rsidRPr="00EB680E">
              <w:rPr>
                <w:rFonts w:cs="Times New Roman"/>
                <w:szCs w:val="24"/>
                <w:vertAlign w:val="superscript"/>
              </w:rPr>
              <w:t>***</w:t>
            </w:r>
            <w:r w:rsidRPr="00EB680E">
              <w:rPr>
                <w:rFonts w:cs="Times New Roman"/>
                <w:szCs w:val="24"/>
              </w:rPr>
              <w:br/>
              <w:t>(2.87)</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14.80</w:t>
            </w:r>
            <w:r w:rsidRPr="00EB680E">
              <w:rPr>
                <w:rFonts w:cs="Times New Roman"/>
                <w:szCs w:val="24"/>
                <w:vertAlign w:val="superscript"/>
              </w:rPr>
              <w:t>***</w:t>
            </w:r>
            <w:r w:rsidRPr="00EB680E">
              <w:rPr>
                <w:rFonts w:cs="Times New Roman"/>
                <w:szCs w:val="24"/>
              </w:rPr>
              <w:br/>
              <w:t>(4.02)</w:t>
            </w:r>
          </w:p>
        </w:tc>
      </w:tr>
      <w:tr w:rsidR="0099113B" w:rsidRPr="00EB680E" w:rsidTr="0099113B">
        <w:trPr>
          <w:trHeight w:val="395"/>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Obs</w:t>
            </w:r>
            <w:r>
              <w:rPr>
                <w:rFonts w:cs="Times New Roman"/>
                <w:szCs w:val="24"/>
              </w:rPr>
              <w:t>ervations</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39</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47</w:t>
            </w:r>
          </w:p>
        </w:tc>
        <w:tc>
          <w:tcPr>
            <w:tcW w:w="1229"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42</w:t>
            </w:r>
          </w:p>
        </w:tc>
        <w:tc>
          <w:tcPr>
            <w:tcW w:w="1229"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50</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56</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tabs>
                <w:tab w:val="left" w:pos="692"/>
                <w:tab w:val="center" w:pos="900"/>
              </w:tabs>
              <w:autoSpaceDE w:val="0"/>
              <w:autoSpaceDN w:val="0"/>
              <w:adjustRightInd w:val="0"/>
              <w:spacing w:line="240" w:lineRule="auto"/>
              <w:jc w:val="center"/>
              <w:rPr>
                <w:rFonts w:cs="Times New Roman"/>
                <w:szCs w:val="24"/>
              </w:rPr>
            </w:pPr>
            <w:r w:rsidRPr="00EB680E">
              <w:rPr>
                <w:rFonts w:cs="Times New Roman"/>
                <w:szCs w:val="24"/>
              </w:rPr>
              <w:t>36</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16</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28</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24</w:t>
            </w:r>
          </w:p>
        </w:tc>
        <w:tc>
          <w:tcPr>
            <w:tcW w:w="1256"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57</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59</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39</w:t>
            </w:r>
          </w:p>
        </w:tc>
      </w:tr>
      <w:tr w:rsidR="0099113B" w:rsidRPr="00EB680E" w:rsidTr="0099113B">
        <w:trPr>
          <w:trHeight w:val="365"/>
        </w:trPr>
        <w:tc>
          <w:tcPr>
            <w:tcW w:w="1523"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Country excluded</w:t>
            </w:r>
          </w:p>
        </w:tc>
        <w:tc>
          <w:tcPr>
            <w:tcW w:w="1229"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Denmark</w:t>
            </w:r>
          </w:p>
        </w:tc>
        <w:tc>
          <w:tcPr>
            <w:tcW w:w="1229"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Denmark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c>
          <w:tcPr>
            <w:tcW w:w="1088"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Sweden</w:t>
            </w:r>
          </w:p>
        </w:tc>
        <w:tc>
          <w:tcPr>
            <w:tcW w:w="1256"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Canada</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r>
    </w:tbl>
    <w:p w:rsidR="0099113B" w:rsidRPr="00CD0C96" w:rsidRDefault="0099113B" w:rsidP="0099113B">
      <w:pPr>
        <w:widowControl w:val="0"/>
        <w:autoSpaceDE w:val="0"/>
        <w:autoSpaceDN w:val="0"/>
        <w:adjustRightInd w:val="0"/>
        <w:spacing w:line="240" w:lineRule="auto"/>
        <w:jc w:val="both"/>
        <w:rPr>
          <w:rFonts w:cs="Times New Roman"/>
          <w:szCs w:val="24"/>
        </w:rPr>
      </w:pPr>
      <w:r w:rsidRPr="00EB680E">
        <w:rPr>
          <w:rFonts w:cs="Times New Roman"/>
          <w:szCs w:val="24"/>
        </w:rPr>
        <w:t xml:space="preserve">Note: Standard errors in parentheses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0.10,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0.05,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0.01. Fixed effects regression with country-panels. Jackknife analysis with countries excluded one by one. The estimations with the weakest and strongest coefficient are reported alongside</w:t>
      </w:r>
      <w:r>
        <w:rPr>
          <w:rFonts w:cs="Times New Roman"/>
          <w:szCs w:val="24"/>
        </w:rPr>
        <w:t xml:space="preserve"> the full model for each issue. Observations are country-years.</w:t>
      </w:r>
    </w:p>
    <w:p w:rsidR="0099113B" w:rsidRPr="00EB680E" w:rsidRDefault="0099113B" w:rsidP="0099113B">
      <w:pPr>
        <w:widowControl w:val="0"/>
        <w:autoSpaceDE w:val="0"/>
        <w:autoSpaceDN w:val="0"/>
        <w:adjustRightInd w:val="0"/>
        <w:spacing w:line="240" w:lineRule="auto"/>
        <w:jc w:val="both"/>
        <w:rPr>
          <w:rFonts w:cs="Times New Roman"/>
          <w:szCs w:val="24"/>
        </w:rPr>
      </w:pPr>
    </w:p>
    <w:p w:rsidR="0099113B" w:rsidRPr="00EB680E" w:rsidRDefault="0099113B" w:rsidP="0099113B">
      <w:pPr>
        <w:widowControl w:val="0"/>
        <w:autoSpaceDE w:val="0"/>
        <w:autoSpaceDN w:val="0"/>
        <w:adjustRightInd w:val="0"/>
        <w:spacing w:line="240" w:lineRule="auto"/>
        <w:rPr>
          <w:rFonts w:cs="Times New Roman"/>
          <w:szCs w:val="24"/>
        </w:rPr>
      </w:pPr>
    </w:p>
    <w:p w:rsidR="0099113B" w:rsidRPr="00EB680E" w:rsidRDefault="0099113B" w:rsidP="0099113B">
      <w:pPr>
        <w:spacing w:line="240" w:lineRule="auto"/>
        <w:jc w:val="both"/>
        <w:rPr>
          <w:rFonts w:cs="Times New Roman"/>
          <w:b/>
          <w:szCs w:val="24"/>
        </w:rPr>
      </w:pPr>
    </w:p>
    <w:p w:rsidR="0099113B" w:rsidRDefault="0099113B" w:rsidP="0099113B">
      <w:pPr>
        <w:rPr>
          <w:rFonts w:cs="Times New Roman"/>
          <w:b/>
          <w:szCs w:val="24"/>
        </w:rPr>
      </w:pPr>
      <w:r>
        <w:rPr>
          <w:rFonts w:cs="Times New Roman"/>
          <w:b/>
          <w:szCs w:val="24"/>
        </w:rPr>
        <w:br w:type="page"/>
      </w:r>
    </w:p>
    <w:p w:rsidR="0099113B" w:rsidRPr="00EB680E" w:rsidRDefault="0099113B" w:rsidP="0099113B">
      <w:pPr>
        <w:spacing w:line="240" w:lineRule="auto"/>
        <w:jc w:val="both"/>
        <w:rPr>
          <w:rFonts w:cs="Times New Roman"/>
          <w:szCs w:val="24"/>
        </w:rPr>
      </w:pPr>
      <w:r w:rsidRPr="00EB680E">
        <w:rPr>
          <w:rFonts w:cs="Times New Roman"/>
          <w:b/>
          <w:szCs w:val="24"/>
        </w:rPr>
        <w:t>Table A3b</w:t>
      </w:r>
      <w:r w:rsidRPr="00EB680E">
        <w:rPr>
          <w:rFonts w:cs="Times New Roman"/>
          <w:szCs w:val="24"/>
        </w:rPr>
        <w:t xml:space="preserve">. Estimates of issue ownership across countries and the entire period. </w:t>
      </w:r>
    </w:p>
    <w:tbl>
      <w:tblPr>
        <w:tblW w:w="15000" w:type="dxa"/>
        <w:tblInd w:w="-72" w:type="dxa"/>
        <w:tblLayout w:type="fixed"/>
        <w:tblLook w:val="0000" w:firstRow="0" w:lastRow="0" w:firstColumn="0" w:lastColumn="0" w:noHBand="0" w:noVBand="0"/>
      </w:tblPr>
      <w:tblGrid>
        <w:gridCol w:w="1523"/>
        <w:gridCol w:w="1229"/>
        <w:gridCol w:w="1088"/>
        <w:gridCol w:w="1088"/>
        <w:gridCol w:w="1088"/>
        <w:gridCol w:w="1088"/>
        <w:gridCol w:w="1086"/>
        <w:gridCol w:w="1229"/>
        <w:gridCol w:w="1088"/>
        <w:gridCol w:w="1088"/>
        <w:gridCol w:w="1088"/>
        <w:gridCol w:w="1088"/>
        <w:gridCol w:w="1229"/>
      </w:tblGrid>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3405" w:type="dxa"/>
            <w:gridSpan w:val="3"/>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Econ</w:t>
            </w:r>
            <w:r>
              <w:rPr>
                <w:rFonts w:cs="Times New Roman"/>
                <w:szCs w:val="24"/>
              </w:rPr>
              <w:t>omy</w:t>
            </w:r>
          </w:p>
        </w:tc>
        <w:tc>
          <w:tcPr>
            <w:tcW w:w="3262"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Education</w:t>
            </w:r>
          </w:p>
        </w:tc>
        <w:tc>
          <w:tcPr>
            <w:tcW w:w="3405"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Elderly care</w:t>
            </w:r>
          </w:p>
        </w:tc>
        <w:tc>
          <w:tcPr>
            <w:tcW w:w="3405" w:type="dxa"/>
            <w:gridSpan w:val="3"/>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Unemployment</w:t>
            </w:r>
          </w:p>
        </w:tc>
      </w:tr>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6"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29"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229"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r>
      <w:tr w:rsidR="0099113B" w:rsidRPr="00EB680E" w:rsidTr="0099113B">
        <w:trPr>
          <w:trHeight w:val="684"/>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Constant</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10.52</w:t>
            </w:r>
            <w:r w:rsidRPr="00EB680E">
              <w:rPr>
                <w:rFonts w:cs="Times New Roman"/>
                <w:szCs w:val="24"/>
                <w:vertAlign w:val="superscript"/>
              </w:rPr>
              <w:t>***</w:t>
            </w:r>
            <w:r w:rsidRPr="00EB680E">
              <w:rPr>
                <w:rFonts w:cs="Times New Roman"/>
                <w:szCs w:val="24"/>
              </w:rPr>
              <w:br/>
              <w:t>(3.12)</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12.61</w:t>
            </w:r>
            <w:r w:rsidRPr="00EB680E">
              <w:rPr>
                <w:rFonts w:cs="Times New Roman"/>
                <w:szCs w:val="24"/>
                <w:vertAlign w:val="superscript"/>
              </w:rPr>
              <w:t>***</w:t>
            </w:r>
            <w:r w:rsidRPr="00EB680E">
              <w:rPr>
                <w:rFonts w:cs="Times New Roman"/>
                <w:szCs w:val="24"/>
              </w:rPr>
              <w:br/>
              <w:t>(2.82)</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17.15</w:t>
            </w:r>
            <w:r w:rsidRPr="00EB680E">
              <w:rPr>
                <w:rFonts w:cs="Times New Roman"/>
                <w:szCs w:val="24"/>
                <w:vertAlign w:val="superscript"/>
              </w:rPr>
              <w:t>***</w:t>
            </w:r>
            <w:r w:rsidRPr="00EB680E">
              <w:rPr>
                <w:rFonts w:cs="Times New Roman"/>
                <w:szCs w:val="24"/>
              </w:rPr>
              <w:br/>
              <w:t>(3.34)</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-7.83</w:t>
            </w:r>
            <w:r w:rsidRPr="00EB680E">
              <w:rPr>
                <w:rFonts w:cs="Times New Roman"/>
                <w:szCs w:val="24"/>
                <w:vertAlign w:val="superscript"/>
              </w:rPr>
              <w:t>***</w:t>
            </w:r>
            <w:r w:rsidRPr="00EB680E">
              <w:rPr>
                <w:rFonts w:cs="Times New Roman"/>
                <w:szCs w:val="24"/>
              </w:rPr>
              <w:br/>
              <w:t>(2.85)</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-11.13</w:t>
            </w:r>
            <w:r w:rsidRPr="00EB680E">
              <w:rPr>
                <w:rFonts w:cs="Times New Roman"/>
                <w:szCs w:val="24"/>
                <w:vertAlign w:val="superscript"/>
              </w:rPr>
              <w:t>***</w:t>
            </w:r>
            <w:r w:rsidRPr="00EB680E">
              <w:rPr>
                <w:rFonts w:cs="Times New Roman"/>
                <w:szCs w:val="24"/>
              </w:rPr>
              <w:br/>
              <w:t>(2.73)</w:t>
            </w:r>
          </w:p>
        </w:tc>
        <w:tc>
          <w:tcPr>
            <w:tcW w:w="1086"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-13.64</w:t>
            </w:r>
            <w:r w:rsidRPr="00EB680E">
              <w:rPr>
                <w:rFonts w:cs="Times New Roman"/>
                <w:szCs w:val="24"/>
                <w:vertAlign w:val="superscript"/>
              </w:rPr>
              <w:t>***</w:t>
            </w:r>
            <w:r w:rsidRPr="00EB680E">
              <w:rPr>
                <w:rFonts w:cs="Times New Roman"/>
                <w:szCs w:val="24"/>
              </w:rPr>
              <w:br/>
              <w:t>(3.84)</w:t>
            </w:r>
          </w:p>
        </w:tc>
        <w:tc>
          <w:tcPr>
            <w:tcW w:w="1229"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4.39</w:t>
            </w:r>
            <w:r w:rsidRPr="00EB680E">
              <w:rPr>
                <w:rFonts w:cs="Times New Roman"/>
                <w:szCs w:val="24"/>
              </w:rPr>
              <w:br/>
              <w:t>(4.55)</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-6.42</w:t>
            </w:r>
            <w:r w:rsidRPr="00EB680E">
              <w:rPr>
                <w:rFonts w:cs="Times New Roman"/>
                <w:szCs w:val="24"/>
              </w:rPr>
              <w:br/>
              <w:t>(4.45)</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-9.46</w:t>
            </w:r>
            <w:r w:rsidRPr="00EB680E">
              <w:rPr>
                <w:rFonts w:cs="Times New Roman"/>
                <w:szCs w:val="24"/>
                <w:vertAlign w:val="superscript"/>
              </w:rPr>
              <w:t>*</w:t>
            </w:r>
            <w:r w:rsidRPr="00EB680E">
              <w:rPr>
                <w:rFonts w:cs="Times New Roman"/>
                <w:szCs w:val="24"/>
              </w:rPr>
              <w:br/>
              <w:t>(4.59)</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-3.98</w:t>
            </w:r>
            <w:r w:rsidRPr="00EB680E">
              <w:rPr>
                <w:rFonts w:cs="Times New Roman"/>
                <w:szCs w:val="24"/>
                <w:vertAlign w:val="superscript"/>
              </w:rPr>
              <w:t>a</w:t>
            </w:r>
            <w:r w:rsidRPr="00EB680E">
              <w:rPr>
                <w:rFonts w:cs="Times New Roman"/>
                <w:szCs w:val="24"/>
              </w:rPr>
              <w:br/>
              <w:t>(3.29)</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-8.49</w:t>
            </w:r>
            <w:r w:rsidRPr="00EB680E">
              <w:rPr>
                <w:rFonts w:cs="Times New Roman"/>
                <w:szCs w:val="24"/>
                <w:vertAlign w:val="superscript"/>
              </w:rPr>
              <w:t>***</w:t>
            </w:r>
            <w:r w:rsidRPr="00EB680E">
              <w:rPr>
                <w:rFonts w:cs="Times New Roman"/>
                <w:szCs w:val="24"/>
              </w:rPr>
              <w:br/>
              <w:t>(2.59)</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-15.28</w:t>
            </w:r>
            <w:r w:rsidRPr="00EB680E">
              <w:rPr>
                <w:rFonts w:cs="Times New Roman"/>
                <w:szCs w:val="24"/>
                <w:vertAlign w:val="superscript"/>
              </w:rPr>
              <w:t>***</w:t>
            </w:r>
            <w:r w:rsidRPr="00EB680E">
              <w:rPr>
                <w:rFonts w:cs="Times New Roman"/>
                <w:szCs w:val="24"/>
              </w:rPr>
              <w:br/>
              <w:t>(2.89)</w:t>
            </w:r>
          </w:p>
        </w:tc>
      </w:tr>
      <w:tr w:rsidR="0099113B" w:rsidRPr="00EB680E" w:rsidTr="0099113B">
        <w:trPr>
          <w:trHeight w:val="395"/>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Obs</w:t>
            </w:r>
            <w:r>
              <w:rPr>
                <w:rFonts w:cs="Times New Roman"/>
                <w:szCs w:val="24"/>
              </w:rPr>
              <w:t>ervations</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56</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63</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45</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53</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57</w:t>
            </w:r>
          </w:p>
        </w:tc>
        <w:tc>
          <w:tcPr>
            <w:tcW w:w="1086"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35</w:t>
            </w:r>
          </w:p>
        </w:tc>
        <w:tc>
          <w:tcPr>
            <w:tcW w:w="1229"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12</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17</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16</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72</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102</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74</w:t>
            </w:r>
          </w:p>
        </w:tc>
      </w:tr>
      <w:tr w:rsidR="0099113B" w:rsidRPr="00EB680E" w:rsidTr="0099113B">
        <w:trPr>
          <w:trHeight w:val="365"/>
        </w:trPr>
        <w:tc>
          <w:tcPr>
            <w:tcW w:w="1523"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Country excluded</w:t>
            </w:r>
          </w:p>
        </w:tc>
        <w:tc>
          <w:tcPr>
            <w:tcW w:w="1229"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Denmark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c>
          <w:tcPr>
            <w:tcW w:w="1088"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US</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6"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c>
          <w:tcPr>
            <w:tcW w:w="1229"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Denmark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Finland</w:t>
            </w:r>
          </w:p>
        </w:tc>
        <w:tc>
          <w:tcPr>
            <w:tcW w:w="1088"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Germany</w:t>
            </w:r>
          </w:p>
        </w:tc>
      </w:tr>
    </w:tbl>
    <w:p w:rsidR="0099113B" w:rsidRPr="00CD0C96" w:rsidRDefault="0099113B" w:rsidP="0099113B">
      <w:pPr>
        <w:widowControl w:val="0"/>
        <w:autoSpaceDE w:val="0"/>
        <w:autoSpaceDN w:val="0"/>
        <w:adjustRightInd w:val="0"/>
        <w:spacing w:line="240" w:lineRule="auto"/>
        <w:jc w:val="both"/>
        <w:rPr>
          <w:rFonts w:cs="Times New Roman"/>
          <w:szCs w:val="24"/>
        </w:rPr>
      </w:pPr>
      <w:r w:rsidRPr="00EB680E">
        <w:rPr>
          <w:rFonts w:cs="Times New Roman"/>
          <w:szCs w:val="24"/>
        </w:rPr>
        <w:t xml:space="preserve">Note: Standard errors in parentheses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0.10,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0.05,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0.01. Fixed effects regression with country-panels. Jackknife analysis with countries excluded one by one. The estimations with the weakest and strongest coefficient are reported alongside the full model for each issue. </w:t>
      </w:r>
      <w:r w:rsidRPr="00EB680E">
        <w:rPr>
          <w:rFonts w:cs="Times New Roman"/>
          <w:szCs w:val="24"/>
          <w:vertAlign w:val="superscript"/>
        </w:rPr>
        <w:t xml:space="preserve">a </w:t>
      </w:r>
      <w:r w:rsidRPr="00EB680E">
        <w:rPr>
          <w:rFonts w:cs="Times New Roman"/>
          <w:i/>
          <w:szCs w:val="24"/>
        </w:rPr>
        <w:t>p</w:t>
      </w:r>
      <w:r w:rsidRPr="00EB680E">
        <w:rPr>
          <w:rFonts w:cs="Times New Roman"/>
          <w:szCs w:val="24"/>
        </w:rPr>
        <w:t xml:space="preserve"> is 0.24.</w:t>
      </w:r>
      <w:r w:rsidRPr="003E2F80">
        <w:rPr>
          <w:rFonts w:cs="Times New Roman"/>
          <w:szCs w:val="24"/>
          <w:vertAlign w:val="superscript"/>
        </w:rPr>
        <w:t xml:space="preserve"> </w:t>
      </w:r>
      <w:r>
        <w:rPr>
          <w:rFonts w:cs="Times New Roman"/>
          <w:szCs w:val="24"/>
        </w:rPr>
        <w:t>Observations are country-years.</w:t>
      </w:r>
    </w:p>
    <w:p w:rsidR="0099113B" w:rsidRPr="00EB680E" w:rsidRDefault="0099113B" w:rsidP="0099113B">
      <w:pPr>
        <w:spacing w:line="240" w:lineRule="auto"/>
        <w:jc w:val="both"/>
        <w:rPr>
          <w:rFonts w:cs="Times New Roman"/>
          <w:b/>
          <w:szCs w:val="24"/>
        </w:rPr>
      </w:pPr>
    </w:p>
    <w:p w:rsidR="0099113B" w:rsidRDefault="0099113B" w:rsidP="0099113B">
      <w:pPr>
        <w:rPr>
          <w:rFonts w:cs="Times New Roman"/>
          <w:b/>
          <w:szCs w:val="24"/>
        </w:rPr>
      </w:pPr>
      <w:r>
        <w:rPr>
          <w:rFonts w:cs="Times New Roman"/>
          <w:b/>
          <w:szCs w:val="24"/>
        </w:rPr>
        <w:br w:type="page"/>
      </w:r>
    </w:p>
    <w:p w:rsidR="0099113B" w:rsidRPr="00EB680E" w:rsidRDefault="0099113B" w:rsidP="0099113B">
      <w:pPr>
        <w:spacing w:line="240" w:lineRule="auto"/>
        <w:jc w:val="both"/>
        <w:rPr>
          <w:rFonts w:cs="Times New Roman"/>
          <w:szCs w:val="24"/>
        </w:rPr>
      </w:pPr>
      <w:r w:rsidRPr="00EB680E">
        <w:rPr>
          <w:rFonts w:cs="Times New Roman"/>
          <w:b/>
          <w:szCs w:val="24"/>
        </w:rPr>
        <w:t>Table A3c</w:t>
      </w:r>
      <w:r w:rsidRPr="00EB680E">
        <w:rPr>
          <w:rFonts w:cs="Times New Roman"/>
          <w:szCs w:val="24"/>
        </w:rPr>
        <w:t xml:space="preserve">. Estimates of issue ownership across countries and the entire period. </w:t>
      </w:r>
    </w:p>
    <w:tbl>
      <w:tblPr>
        <w:tblW w:w="14919" w:type="dxa"/>
        <w:tblInd w:w="-72" w:type="dxa"/>
        <w:tblLayout w:type="fixed"/>
        <w:tblLook w:val="0000" w:firstRow="0" w:lastRow="0" w:firstColumn="0" w:lastColumn="0" w:noHBand="0" w:noVBand="0"/>
      </w:tblPr>
      <w:tblGrid>
        <w:gridCol w:w="1523"/>
        <w:gridCol w:w="1229"/>
        <w:gridCol w:w="938"/>
        <w:gridCol w:w="1080"/>
        <w:gridCol w:w="1136"/>
        <w:gridCol w:w="1088"/>
        <w:gridCol w:w="1088"/>
        <w:gridCol w:w="1229"/>
        <w:gridCol w:w="1088"/>
        <w:gridCol w:w="1088"/>
        <w:gridCol w:w="1256"/>
        <w:gridCol w:w="1088"/>
        <w:gridCol w:w="1088"/>
      </w:tblGrid>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3247" w:type="dxa"/>
            <w:gridSpan w:val="3"/>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Families</w:t>
            </w:r>
          </w:p>
        </w:tc>
        <w:tc>
          <w:tcPr>
            <w:tcW w:w="1136"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Health</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3405"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Social security</w:t>
            </w:r>
          </w:p>
        </w:tc>
        <w:tc>
          <w:tcPr>
            <w:tcW w:w="3432" w:type="dxa"/>
            <w:gridSpan w:val="3"/>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Environment</w:t>
            </w:r>
          </w:p>
        </w:tc>
      </w:tr>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93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0"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136"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29"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56"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r>
      <w:tr w:rsidR="0099113B" w:rsidRPr="00EB680E" w:rsidTr="0099113B">
        <w:trPr>
          <w:trHeight w:val="684"/>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Constant</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-2.00</w:t>
            </w:r>
            <w:r w:rsidRPr="00EB680E">
              <w:rPr>
                <w:rFonts w:cs="Times New Roman"/>
                <w:szCs w:val="24"/>
              </w:rPr>
              <w:br/>
              <w:t>(5.86)</w:t>
            </w:r>
          </w:p>
        </w:tc>
        <w:tc>
          <w:tcPr>
            <w:tcW w:w="93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-8.98</w:t>
            </w:r>
            <w:r w:rsidRPr="00EB680E">
              <w:rPr>
                <w:rFonts w:cs="Times New Roman"/>
                <w:szCs w:val="24"/>
                <w:vertAlign w:val="superscript"/>
              </w:rPr>
              <w:t>*</w:t>
            </w:r>
            <w:r w:rsidRPr="00EB680E">
              <w:rPr>
                <w:rFonts w:cs="Times New Roman"/>
                <w:szCs w:val="24"/>
              </w:rPr>
              <w:br/>
              <w:t>(5.14)</w:t>
            </w:r>
          </w:p>
        </w:tc>
        <w:tc>
          <w:tcPr>
            <w:tcW w:w="1080"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-13.39</w:t>
            </w:r>
            <w:r w:rsidRPr="00EB680E">
              <w:rPr>
                <w:rFonts w:cs="Times New Roman"/>
                <w:szCs w:val="24"/>
                <w:vertAlign w:val="superscript"/>
              </w:rPr>
              <w:t>**</w:t>
            </w:r>
            <w:r w:rsidRPr="00EB680E">
              <w:rPr>
                <w:rFonts w:cs="Times New Roman"/>
                <w:szCs w:val="24"/>
              </w:rPr>
              <w:br/>
              <w:t>(4.74)</w:t>
            </w:r>
          </w:p>
        </w:tc>
        <w:tc>
          <w:tcPr>
            <w:tcW w:w="1136"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-9.76</w:t>
            </w:r>
            <w:r w:rsidRPr="00EB680E">
              <w:rPr>
                <w:rFonts w:cs="Times New Roman"/>
                <w:szCs w:val="24"/>
                <w:vertAlign w:val="superscript"/>
              </w:rPr>
              <w:t>***</w:t>
            </w:r>
            <w:r w:rsidRPr="00EB680E">
              <w:rPr>
                <w:rFonts w:cs="Times New Roman"/>
                <w:szCs w:val="24"/>
              </w:rPr>
              <w:br/>
              <w:t>(3.18)</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-14.83</w:t>
            </w:r>
            <w:r w:rsidRPr="00EB680E">
              <w:rPr>
                <w:rFonts w:cs="Times New Roman"/>
                <w:szCs w:val="24"/>
                <w:vertAlign w:val="superscript"/>
              </w:rPr>
              <w:t>***</w:t>
            </w:r>
            <w:r w:rsidRPr="00EB680E">
              <w:rPr>
                <w:rFonts w:cs="Times New Roman"/>
                <w:szCs w:val="24"/>
              </w:rPr>
              <w:br/>
              <w:t>(2.54)</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-17.49</w:t>
            </w:r>
            <w:r w:rsidRPr="00EB680E">
              <w:rPr>
                <w:rFonts w:cs="Times New Roman"/>
                <w:szCs w:val="24"/>
                <w:vertAlign w:val="superscript"/>
              </w:rPr>
              <w:t>***</w:t>
            </w:r>
            <w:r w:rsidRPr="00EB680E">
              <w:rPr>
                <w:rFonts w:cs="Times New Roman"/>
                <w:szCs w:val="24"/>
              </w:rPr>
              <w:br/>
              <w:t>(2.65)</w:t>
            </w:r>
          </w:p>
        </w:tc>
        <w:tc>
          <w:tcPr>
            <w:tcW w:w="1229"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-24.25</w:t>
            </w:r>
            <w:r w:rsidRPr="00EB680E">
              <w:rPr>
                <w:rFonts w:cs="Times New Roman"/>
                <w:szCs w:val="24"/>
                <w:vertAlign w:val="superscript"/>
              </w:rPr>
              <w:t>***</w:t>
            </w:r>
            <w:r w:rsidRPr="00EB680E">
              <w:rPr>
                <w:rFonts w:cs="Times New Roman"/>
                <w:szCs w:val="24"/>
              </w:rPr>
              <w:br/>
              <w:t>(4.17)</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-27.59</w:t>
            </w:r>
            <w:r w:rsidRPr="00EB680E">
              <w:rPr>
                <w:rFonts w:cs="Times New Roman"/>
                <w:szCs w:val="24"/>
                <w:vertAlign w:val="superscript"/>
              </w:rPr>
              <w:t>***</w:t>
            </w:r>
            <w:r w:rsidRPr="00EB680E">
              <w:rPr>
                <w:rFonts w:cs="Times New Roman"/>
                <w:szCs w:val="24"/>
              </w:rPr>
              <w:br/>
              <w:t>(3.80)</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-32.50</w:t>
            </w:r>
            <w:r w:rsidRPr="00EB680E">
              <w:rPr>
                <w:rFonts w:cs="Times New Roman"/>
                <w:szCs w:val="24"/>
                <w:vertAlign w:val="superscript"/>
              </w:rPr>
              <w:t>***</w:t>
            </w:r>
            <w:r w:rsidRPr="00EB680E">
              <w:rPr>
                <w:rFonts w:cs="Times New Roman"/>
                <w:szCs w:val="24"/>
              </w:rPr>
              <w:br/>
              <w:t>(2.39)</w:t>
            </w:r>
          </w:p>
        </w:tc>
        <w:tc>
          <w:tcPr>
            <w:tcW w:w="1256"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-37.75</w:t>
            </w:r>
            <w:r w:rsidRPr="00EB680E">
              <w:rPr>
                <w:rFonts w:cs="Times New Roman"/>
                <w:szCs w:val="24"/>
                <w:vertAlign w:val="superscript"/>
              </w:rPr>
              <w:t>***</w:t>
            </w:r>
            <w:r w:rsidRPr="00EB680E">
              <w:rPr>
                <w:rFonts w:cs="Times New Roman"/>
                <w:szCs w:val="24"/>
              </w:rPr>
              <w:br/>
              <w:t>(2.52)</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-40.87</w:t>
            </w:r>
            <w:r w:rsidRPr="00EB680E">
              <w:rPr>
                <w:rFonts w:cs="Times New Roman"/>
                <w:szCs w:val="24"/>
                <w:vertAlign w:val="superscript"/>
              </w:rPr>
              <w:t>***</w:t>
            </w:r>
            <w:r w:rsidRPr="00EB680E">
              <w:rPr>
                <w:rFonts w:cs="Times New Roman"/>
                <w:szCs w:val="24"/>
              </w:rPr>
              <w:br/>
              <w:t>(2.20)</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-45.19</w:t>
            </w:r>
            <w:r w:rsidRPr="00EB680E">
              <w:rPr>
                <w:rFonts w:cs="Times New Roman"/>
                <w:szCs w:val="24"/>
                <w:vertAlign w:val="superscript"/>
              </w:rPr>
              <w:t>***</w:t>
            </w:r>
            <w:r w:rsidRPr="00EB680E">
              <w:rPr>
                <w:rFonts w:cs="Times New Roman"/>
                <w:szCs w:val="24"/>
              </w:rPr>
              <w:br/>
              <w:t>(2.18)</w:t>
            </w:r>
          </w:p>
        </w:tc>
      </w:tr>
      <w:tr w:rsidR="0099113B" w:rsidRPr="00EB680E" w:rsidTr="0099113B">
        <w:trPr>
          <w:trHeight w:val="395"/>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Obs</w:t>
            </w:r>
            <w:r>
              <w:rPr>
                <w:rFonts w:cs="Times New Roman"/>
                <w:szCs w:val="24"/>
              </w:rPr>
              <w:t>ervations</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21</w:t>
            </w:r>
          </w:p>
        </w:tc>
        <w:tc>
          <w:tcPr>
            <w:tcW w:w="93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25</w:t>
            </w:r>
          </w:p>
        </w:tc>
        <w:tc>
          <w:tcPr>
            <w:tcW w:w="1080"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13</w:t>
            </w:r>
          </w:p>
        </w:tc>
        <w:tc>
          <w:tcPr>
            <w:tcW w:w="1136"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40</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63</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60</w:t>
            </w:r>
          </w:p>
        </w:tc>
        <w:tc>
          <w:tcPr>
            <w:tcW w:w="1229"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18</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20</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15</w:t>
            </w:r>
          </w:p>
        </w:tc>
        <w:tc>
          <w:tcPr>
            <w:tcW w:w="1256"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37</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43</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34</w:t>
            </w:r>
          </w:p>
        </w:tc>
      </w:tr>
      <w:tr w:rsidR="0099113B" w:rsidRPr="00EB680E" w:rsidTr="0099113B">
        <w:trPr>
          <w:trHeight w:val="365"/>
        </w:trPr>
        <w:tc>
          <w:tcPr>
            <w:tcW w:w="1523"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Country excluded</w:t>
            </w:r>
          </w:p>
        </w:tc>
        <w:tc>
          <w:tcPr>
            <w:tcW w:w="1229"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Denmark</w:t>
            </w:r>
          </w:p>
        </w:tc>
        <w:tc>
          <w:tcPr>
            <w:tcW w:w="93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0"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c>
          <w:tcPr>
            <w:tcW w:w="1136"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szCs w:val="24"/>
              </w:rPr>
            </w:pPr>
            <w:r>
              <w:rPr>
                <w:rFonts w:cs="Times New Roman"/>
                <w:szCs w:val="24"/>
              </w:rPr>
              <w:t>UK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szCs w:val="24"/>
              </w:rPr>
            </w:pPr>
            <w:r>
              <w:rPr>
                <w:szCs w:val="24"/>
              </w:rPr>
              <w:t>Canada</w:t>
            </w:r>
          </w:p>
        </w:tc>
        <w:tc>
          <w:tcPr>
            <w:tcW w:w="1229"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France</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US</w:t>
            </w:r>
          </w:p>
        </w:tc>
        <w:tc>
          <w:tcPr>
            <w:tcW w:w="1256"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Denmark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r>
    </w:tbl>
    <w:p w:rsidR="0099113B" w:rsidRPr="00CD0C96" w:rsidRDefault="0099113B" w:rsidP="0099113B">
      <w:pPr>
        <w:widowControl w:val="0"/>
        <w:autoSpaceDE w:val="0"/>
        <w:autoSpaceDN w:val="0"/>
        <w:adjustRightInd w:val="0"/>
        <w:spacing w:line="240" w:lineRule="auto"/>
        <w:jc w:val="both"/>
        <w:rPr>
          <w:rFonts w:cs="Times New Roman"/>
          <w:szCs w:val="24"/>
        </w:rPr>
      </w:pPr>
      <w:r w:rsidRPr="00EB680E">
        <w:rPr>
          <w:rFonts w:cs="Times New Roman"/>
          <w:szCs w:val="24"/>
        </w:rPr>
        <w:t xml:space="preserve">Note: Standard errors in parentheses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0.10,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0.05,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0.01. Fixed effects regression with country-panels. Jackknife analysis with countries excluded one by one. The estimations with the weakest and strongest coefficient are reported alongside the full model for each issue.</w:t>
      </w:r>
      <w:r>
        <w:rPr>
          <w:rFonts w:cs="Times New Roman"/>
          <w:szCs w:val="24"/>
        </w:rPr>
        <w:t xml:space="preserve"> Observations are country-years.</w:t>
      </w:r>
    </w:p>
    <w:p w:rsidR="0099113B" w:rsidRPr="00EB680E" w:rsidRDefault="0099113B" w:rsidP="0099113B">
      <w:pPr>
        <w:spacing w:line="240" w:lineRule="auto"/>
        <w:jc w:val="both"/>
        <w:rPr>
          <w:rFonts w:cs="Times New Roman"/>
          <w:b/>
          <w:szCs w:val="24"/>
        </w:rPr>
      </w:pPr>
    </w:p>
    <w:p w:rsidR="0099113B" w:rsidRPr="00EB680E" w:rsidRDefault="0099113B" w:rsidP="0099113B">
      <w:pPr>
        <w:spacing w:line="240" w:lineRule="auto"/>
        <w:jc w:val="both"/>
        <w:rPr>
          <w:rFonts w:cs="Times New Roman"/>
          <w:b/>
          <w:szCs w:val="24"/>
        </w:rPr>
      </w:pPr>
    </w:p>
    <w:p w:rsidR="0099113B" w:rsidRPr="00EB680E" w:rsidRDefault="0099113B" w:rsidP="0099113B">
      <w:pPr>
        <w:rPr>
          <w:rFonts w:cs="Times New Roman"/>
          <w:b/>
          <w:szCs w:val="24"/>
        </w:rPr>
      </w:pPr>
      <w:r w:rsidRPr="00EB680E">
        <w:rPr>
          <w:rFonts w:cs="Times New Roman"/>
          <w:b/>
          <w:szCs w:val="24"/>
        </w:rPr>
        <w:br w:type="page"/>
      </w:r>
    </w:p>
    <w:p w:rsidR="0099113B" w:rsidRPr="00EB680E" w:rsidRDefault="0099113B" w:rsidP="0099113B">
      <w:pPr>
        <w:spacing w:line="240" w:lineRule="auto"/>
        <w:jc w:val="both"/>
        <w:rPr>
          <w:rFonts w:cs="Times New Roman"/>
          <w:szCs w:val="24"/>
        </w:rPr>
      </w:pPr>
      <w:r w:rsidRPr="00EB680E">
        <w:rPr>
          <w:rFonts w:cs="Times New Roman"/>
          <w:b/>
          <w:szCs w:val="24"/>
        </w:rPr>
        <w:t>Table A4a</w:t>
      </w:r>
      <w:r w:rsidRPr="00EB680E">
        <w:rPr>
          <w:rFonts w:cs="Times New Roman"/>
          <w:szCs w:val="24"/>
        </w:rPr>
        <w:t xml:space="preserve">. Estimates of issue ownership across countries in the 2000s. </w:t>
      </w:r>
    </w:p>
    <w:tbl>
      <w:tblPr>
        <w:tblW w:w="14940" w:type="dxa"/>
        <w:tblInd w:w="-72" w:type="dxa"/>
        <w:tblLayout w:type="fixed"/>
        <w:tblLook w:val="0000" w:firstRow="0" w:lastRow="0" w:firstColumn="0" w:lastColumn="0" w:noHBand="0" w:noVBand="0"/>
      </w:tblPr>
      <w:tblGrid>
        <w:gridCol w:w="1523"/>
        <w:gridCol w:w="1229"/>
        <w:gridCol w:w="1088"/>
        <w:gridCol w:w="1088"/>
        <w:gridCol w:w="1088"/>
        <w:gridCol w:w="1088"/>
        <w:gridCol w:w="1088"/>
        <w:gridCol w:w="1216"/>
        <w:gridCol w:w="1088"/>
        <w:gridCol w:w="1088"/>
        <w:gridCol w:w="1088"/>
        <w:gridCol w:w="1088"/>
        <w:gridCol w:w="1180"/>
      </w:tblGrid>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3405" w:type="dxa"/>
            <w:gridSpan w:val="3"/>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Asylum/</w:t>
            </w:r>
            <w:r>
              <w:rPr>
                <w:rFonts w:cs="Times New Roman"/>
                <w:szCs w:val="24"/>
              </w:rPr>
              <w:t>immigration</w:t>
            </w:r>
          </w:p>
        </w:tc>
        <w:tc>
          <w:tcPr>
            <w:tcW w:w="3264"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Law/order</w:t>
            </w:r>
          </w:p>
        </w:tc>
        <w:tc>
          <w:tcPr>
            <w:tcW w:w="1216"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EU</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Tax</w:t>
            </w:r>
          </w:p>
        </w:tc>
        <w:tc>
          <w:tcPr>
            <w:tcW w:w="1180"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r>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16"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180"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r>
      <w:tr w:rsidR="0099113B" w:rsidRPr="00EB680E" w:rsidTr="0099113B">
        <w:trPr>
          <w:trHeight w:val="684"/>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Constant</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36.67</w:t>
            </w:r>
            <w:r w:rsidRPr="00EB680E">
              <w:rPr>
                <w:rFonts w:cs="Times New Roman"/>
                <w:szCs w:val="24"/>
                <w:vertAlign w:val="superscript"/>
              </w:rPr>
              <w:t>***</w:t>
            </w:r>
            <w:r w:rsidRPr="00EB680E">
              <w:rPr>
                <w:rFonts w:cs="Times New Roman"/>
                <w:szCs w:val="24"/>
              </w:rPr>
              <w:br/>
              <w:t>(3.51)</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42.27</w:t>
            </w:r>
            <w:r w:rsidRPr="00EB680E">
              <w:rPr>
                <w:rFonts w:cs="Times New Roman"/>
                <w:szCs w:val="24"/>
                <w:vertAlign w:val="superscript"/>
              </w:rPr>
              <w:t>***</w:t>
            </w:r>
            <w:r w:rsidRPr="00EB680E">
              <w:rPr>
                <w:rFonts w:cs="Times New Roman"/>
                <w:szCs w:val="24"/>
              </w:rPr>
              <w:br/>
              <w:t>(2.77)</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42.29</w:t>
            </w:r>
            <w:r w:rsidRPr="00EB680E">
              <w:rPr>
                <w:rFonts w:cs="Times New Roman"/>
                <w:szCs w:val="24"/>
                <w:vertAlign w:val="superscript"/>
              </w:rPr>
              <w:t>***</w:t>
            </w:r>
            <w:r w:rsidRPr="00EB680E">
              <w:rPr>
                <w:rFonts w:cs="Times New Roman"/>
                <w:szCs w:val="24"/>
              </w:rPr>
              <w:br/>
              <w:t>(2.81)</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34.84</w:t>
            </w:r>
            <w:r w:rsidRPr="00EB680E">
              <w:rPr>
                <w:rFonts w:cs="Times New Roman"/>
                <w:szCs w:val="24"/>
                <w:vertAlign w:val="superscript"/>
              </w:rPr>
              <w:t>***</w:t>
            </w:r>
            <w:r w:rsidRPr="00EB680E">
              <w:rPr>
                <w:rFonts w:cs="Times New Roman"/>
                <w:szCs w:val="24"/>
              </w:rPr>
              <w:br/>
              <w:t>(3.56)</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37.54</w:t>
            </w:r>
            <w:r w:rsidRPr="00EB680E">
              <w:rPr>
                <w:rFonts w:cs="Times New Roman"/>
                <w:szCs w:val="24"/>
                <w:vertAlign w:val="superscript"/>
              </w:rPr>
              <w:t>***</w:t>
            </w:r>
            <w:r w:rsidRPr="00EB680E">
              <w:rPr>
                <w:rFonts w:cs="Times New Roman"/>
                <w:szCs w:val="24"/>
              </w:rPr>
              <w:br/>
              <w:t>(3.36)</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46.10</w:t>
            </w:r>
            <w:r w:rsidRPr="00EB680E">
              <w:rPr>
                <w:rFonts w:cs="Times New Roman"/>
                <w:szCs w:val="24"/>
                <w:vertAlign w:val="superscript"/>
              </w:rPr>
              <w:t>***</w:t>
            </w:r>
            <w:r w:rsidRPr="00EB680E">
              <w:rPr>
                <w:rFonts w:cs="Times New Roman"/>
                <w:szCs w:val="24"/>
              </w:rPr>
              <w:br/>
              <w:t>(4.97)</w:t>
            </w:r>
          </w:p>
        </w:tc>
        <w:tc>
          <w:tcPr>
            <w:tcW w:w="1216"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21.75</w:t>
            </w:r>
            <w:r w:rsidRPr="00EB680E">
              <w:rPr>
                <w:rFonts w:cs="Times New Roman"/>
                <w:szCs w:val="24"/>
                <w:vertAlign w:val="superscript"/>
              </w:rPr>
              <w:t>***</w:t>
            </w:r>
            <w:r w:rsidRPr="00EB680E">
              <w:rPr>
                <w:rFonts w:cs="Times New Roman"/>
                <w:szCs w:val="24"/>
              </w:rPr>
              <w:br/>
              <w:t>(2.21)</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27.42</w:t>
            </w:r>
            <w:r w:rsidRPr="00EB680E">
              <w:rPr>
                <w:rFonts w:cs="Times New Roman"/>
                <w:szCs w:val="24"/>
                <w:vertAlign w:val="superscript"/>
              </w:rPr>
              <w:t>***</w:t>
            </w:r>
            <w:r w:rsidRPr="00EB680E">
              <w:rPr>
                <w:rFonts w:cs="Times New Roman"/>
                <w:szCs w:val="24"/>
              </w:rPr>
              <w:br/>
              <w:t>(3.98)</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31.45</w:t>
            </w:r>
            <w:r w:rsidRPr="00EB680E">
              <w:rPr>
                <w:rFonts w:cs="Times New Roman"/>
                <w:szCs w:val="24"/>
                <w:vertAlign w:val="superscript"/>
              </w:rPr>
              <w:t>***</w:t>
            </w:r>
            <w:r w:rsidRPr="00EB680E">
              <w:rPr>
                <w:rFonts w:cs="Times New Roman"/>
                <w:szCs w:val="24"/>
              </w:rPr>
              <w:br/>
              <w:t>(4.10)</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19.42</w:t>
            </w:r>
            <w:r w:rsidRPr="00EB680E">
              <w:rPr>
                <w:rFonts w:cs="Times New Roman"/>
                <w:szCs w:val="24"/>
                <w:vertAlign w:val="superscript"/>
              </w:rPr>
              <w:t>***</w:t>
            </w:r>
            <w:r w:rsidRPr="00EB680E">
              <w:rPr>
                <w:rFonts w:cs="Times New Roman"/>
                <w:szCs w:val="24"/>
              </w:rPr>
              <w:br/>
              <w:t>(3.32)</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22.65</w:t>
            </w:r>
            <w:r w:rsidRPr="00EB680E">
              <w:rPr>
                <w:rFonts w:cs="Times New Roman"/>
                <w:szCs w:val="24"/>
                <w:vertAlign w:val="superscript"/>
              </w:rPr>
              <w:t>***</w:t>
            </w:r>
            <w:r w:rsidRPr="00EB680E">
              <w:rPr>
                <w:rFonts w:cs="Times New Roman"/>
                <w:szCs w:val="24"/>
              </w:rPr>
              <w:br/>
              <w:t>(3.22)</w:t>
            </w:r>
          </w:p>
        </w:tc>
        <w:tc>
          <w:tcPr>
            <w:tcW w:w="1180"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24.64</w:t>
            </w:r>
            <w:r w:rsidRPr="00EB680E">
              <w:rPr>
                <w:rFonts w:cs="Times New Roman"/>
                <w:szCs w:val="24"/>
                <w:vertAlign w:val="superscript"/>
              </w:rPr>
              <w:t>***</w:t>
            </w:r>
            <w:r w:rsidRPr="00EB680E">
              <w:rPr>
                <w:rFonts w:cs="Times New Roman"/>
                <w:szCs w:val="24"/>
              </w:rPr>
              <w:br/>
              <w:t>(3.45)</w:t>
            </w:r>
          </w:p>
        </w:tc>
      </w:tr>
      <w:tr w:rsidR="0099113B" w:rsidRPr="00EB680E" w:rsidTr="0099113B">
        <w:trPr>
          <w:trHeight w:val="395"/>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Obs</w:t>
            </w:r>
            <w:r>
              <w:rPr>
                <w:rFonts w:cs="Times New Roman"/>
                <w:szCs w:val="24"/>
              </w:rPr>
              <w:t>ervations</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28</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36</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35</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28</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30</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20</w:t>
            </w:r>
          </w:p>
        </w:tc>
        <w:tc>
          <w:tcPr>
            <w:tcW w:w="1216"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11</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17</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16</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34</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36</w:t>
            </w:r>
          </w:p>
        </w:tc>
        <w:tc>
          <w:tcPr>
            <w:tcW w:w="1180"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33</w:t>
            </w:r>
          </w:p>
        </w:tc>
      </w:tr>
      <w:tr w:rsidR="0099113B" w:rsidRPr="00EB680E" w:rsidTr="0099113B">
        <w:trPr>
          <w:trHeight w:val="365"/>
        </w:trPr>
        <w:tc>
          <w:tcPr>
            <w:tcW w:w="1523"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Country excluded</w:t>
            </w:r>
          </w:p>
        </w:tc>
        <w:tc>
          <w:tcPr>
            <w:tcW w:w="1229" w:type="dxa"/>
            <w:tcBorders>
              <w:top w:val="nil"/>
              <w:left w:val="nil"/>
              <w:bottom w:val="single" w:sz="4" w:space="0" w:color="auto"/>
              <w:right w:val="nil"/>
            </w:tcBorders>
          </w:tcPr>
          <w:p w:rsidR="0099113B" w:rsidRPr="003E2F80" w:rsidRDefault="0099113B" w:rsidP="0099113B">
            <w:pPr>
              <w:widowControl w:val="0"/>
              <w:autoSpaceDE w:val="0"/>
              <w:autoSpaceDN w:val="0"/>
              <w:adjustRightInd w:val="0"/>
              <w:spacing w:line="240" w:lineRule="auto"/>
              <w:jc w:val="center"/>
              <w:rPr>
                <w:rFonts w:cs="Times New Roman"/>
                <w:szCs w:val="24"/>
              </w:rPr>
            </w:pPr>
            <w:r w:rsidRPr="003E2F80">
              <w:rPr>
                <w:rFonts w:cs="Times New Roman"/>
                <w:szCs w:val="24"/>
              </w:rPr>
              <w:t>UK</w:t>
            </w:r>
          </w:p>
        </w:tc>
        <w:tc>
          <w:tcPr>
            <w:tcW w:w="1088" w:type="dxa"/>
            <w:tcBorders>
              <w:top w:val="nil"/>
              <w:left w:val="nil"/>
              <w:bottom w:val="single" w:sz="4" w:space="0" w:color="auto"/>
              <w:right w:val="nil"/>
            </w:tcBorders>
          </w:tcPr>
          <w:p w:rsidR="0099113B" w:rsidRPr="003E2F80"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3E2F80"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Belgium</w:t>
            </w:r>
          </w:p>
        </w:tc>
        <w:tc>
          <w:tcPr>
            <w:tcW w:w="1088" w:type="dxa"/>
            <w:tcBorders>
              <w:top w:val="nil"/>
              <w:left w:val="single" w:sz="4" w:space="0" w:color="auto"/>
              <w:bottom w:val="single" w:sz="4" w:space="0" w:color="auto"/>
              <w:right w:val="nil"/>
            </w:tcBorders>
          </w:tcPr>
          <w:p w:rsidR="0099113B" w:rsidRPr="003E2F80"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France</w:t>
            </w:r>
          </w:p>
        </w:tc>
        <w:tc>
          <w:tcPr>
            <w:tcW w:w="1088" w:type="dxa"/>
            <w:tcBorders>
              <w:top w:val="nil"/>
              <w:left w:val="nil"/>
              <w:bottom w:val="single" w:sz="4" w:space="0" w:color="auto"/>
              <w:right w:val="nil"/>
            </w:tcBorders>
          </w:tcPr>
          <w:p w:rsidR="0099113B" w:rsidRPr="003E2F80"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3E2F80" w:rsidRDefault="0099113B" w:rsidP="0099113B">
            <w:pPr>
              <w:widowControl w:val="0"/>
              <w:autoSpaceDE w:val="0"/>
              <w:autoSpaceDN w:val="0"/>
              <w:adjustRightInd w:val="0"/>
              <w:spacing w:line="240" w:lineRule="auto"/>
              <w:jc w:val="center"/>
              <w:rPr>
                <w:rFonts w:cs="Times New Roman"/>
                <w:szCs w:val="24"/>
              </w:rPr>
            </w:pPr>
            <w:r w:rsidRPr="003E2F80">
              <w:rPr>
                <w:rFonts w:cs="Times New Roman"/>
                <w:szCs w:val="24"/>
              </w:rPr>
              <w:t>UK</w:t>
            </w:r>
          </w:p>
        </w:tc>
        <w:tc>
          <w:tcPr>
            <w:tcW w:w="1216"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Sweden</w:t>
            </w:r>
          </w:p>
        </w:tc>
        <w:tc>
          <w:tcPr>
            <w:tcW w:w="1088" w:type="dxa"/>
            <w:tcBorders>
              <w:top w:val="nil"/>
              <w:left w:val="single" w:sz="4" w:space="0" w:color="auto"/>
              <w:bottom w:val="single" w:sz="4" w:space="0" w:color="auto"/>
              <w:right w:val="nil"/>
            </w:tcBorders>
          </w:tcPr>
          <w:p w:rsidR="0099113B" w:rsidRPr="003E2F80"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Canada</w:t>
            </w:r>
          </w:p>
        </w:tc>
        <w:tc>
          <w:tcPr>
            <w:tcW w:w="1088" w:type="dxa"/>
            <w:tcBorders>
              <w:top w:val="nil"/>
              <w:left w:val="nil"/>
              <w:bottom w:val="single" w:sz="4" w:space="0" w:color="auto"/>
              <w:right w:val="nil"/>
            </w:tcBorders>
          </w:tcPr>
          <w:p w:rsidR="0099113B" w:rsidRPr="003E2F80" w:rsidRDefault="0099113B" w:rsidP="0099113B">
            <w:pPr>
              <w:widowControl w:val="0"/>
              <w:autoSpaceDE w:val="0"/>
              <w:autoSpaceDN w:val="0"/>
              <w:adjustRightInd w:val="0"/>
              <w:spacing w:line="240" w:lineRule="auto"/>
              <w:jc w:val="center"/>
              <w:rPr>
                <w:rFonts w:cs="Times New Roman"/>
                <w:szCs w:val="24"/>
              </w:rPr>
            </w:pPr>
          </w:p>
        </w:tc>
        <w:tc>
          <w:tcPr>
            <w:tcW w:w="1180" w:type="dxa"/>
            <w:tcBorders>
              <w:top w:val="nil"/>
              <w:left w:val="nil"/>
              <w:bottom w:val="single" w:sz="4" w:space="0" w:color="auto"/>
              <w:right w:val="nil"/>
            </w:tcBorders>
          </w:tcPr>
          <w:p w:rsidR="0099113B" w:rsidRPr="003E2F80" w:rsidRDefault="0099113B" w:rsidP="0099113B">
            <w:pPr>
              <w:widowControl w:val="0"/>
              <w:autoSpaceDE w:val="0"/>
              <w:autoSpaceDN w:val="0"/>
              <w:adjustRightInd w:val="0"/>
              <w:spacing w:line="240" w:lineRule="auto"/>
              <w:jc w:val="center"/>
              <w:rPr>
                <w:rFonts w:cs="Times New Roman"/>
                <w:szCs w:val="24"/>
              </w:rPr>
            </w:pPr>
            <w:r w:rsidRPr="003E2F80">
              <w:rPr>
                <w:rFonts w:cs="Times New Roman"/>
                <w:szCs w:val="24"/>
              </w:rPr>
              <w:t>Sweden</w:t>
            </w:r>
          </w:p>
        </w:tc>
      </w:tr>
    </w:tbl>
    <w:p w:rsidR="0099113B" w:rsidRPr="00CD0C96" w:rsidRDefault="0099113B" w:rsidP="0099113B">
      <w:pPr>
        <w:widowControl w:val="0"/>
        <w:autoSpaceDE w:val="0"/>
        <w:autoSpaceDN w:val="0"/>
        <w:adjustRightInd w:val="0"/>
        <w:spacing w:line="240" w:lineRule="auto"/>
        <w:jc w:val="both"/>
        <w:rPr>
          <w:rFonts w:cs="Times New Roman"/>
          <w:szCs w:val="24"/>
        </w:rPr>
      </w:pPr>
      <w:r w:rsidRPr="00EB680E">
        <w:rPr>
          <w:rFonts w:cs="Times New Roman"/>
          <w:szCs w:val="24"/>
        </w:rPr>
        <w:t xml:space="preserve">Note: Standard errors in parentheses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0.10,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0.05,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0.01. Fixed effects regression with country-panels. Jackknife analysis with countries excluded one by one. The estimations with the weakest and strongest coefficient are reported alongside the full model for each issue.</w:t>
      </w:r>
      <w:r>
        <w:rPr>
          <w:rFonts w:cs="Times New Roman"/>
          <w:szCs w:val="24"/>
        </w:rPr>
        <w:t xml:space="preserve"> Observations are country-years.</w:t>
      </w:r>
    </w:p>
    <w:p w:rsidR="0099113B" w:rsidRPr="00EB680E" w:rsidRDefault="0099113B" w:rsidP="0099113B">
      <w:pPr>
        <w:widowControl w:val="0"/>
        <w:autoSpaceDE w:val="0"/>
        <w:autoSpaceDN w:val="0"/>
        <w:adjustRightInd w:val="0"/>
        <w:spacing w:line="240" w:lineRule="auto"/>
        <w:jc w:val="both"/>
        <w:rPr>
          <w:rFonts w:cs="Times New Roman"/>
          <w:szCs w:val="24"/>
        </w:rPr>
      </w:pPr>
    </w:p>
    <w:p w:rsidR="0099113B" w:rsidRPr="00EB680E" w:rsidRDefault="0099113B" w:rsidP="0099113B">
      <w:pPr>
        <w:spacing w:line="240" w:lineRule="auto"/>
        <w:jc w:val="both"/>
        <w:rPr>
          <w:rFonts w:cs="Times New Roman"/>
          <w:b/>
          <w:szCs w:val="24"/>
        </w:rPr>
      </w:pPr>
    </w:p>
    <w:p w:rsidR="0099113B" w:rsidRDefault="0099113B" w:rsidP="0099113B">
      <w:pPr>
        <w:rPr>
          <w:rFonts w:cs="Times New Roman"/>
          <w:b/>
          <w:szCs w:val="24"/>
        </w:rPr>
      </w:pPr>
      <w:r>
        <w:rPr>
          <w:rFonts w:cs="Times New Roman"/>
          <w:b/>
          <w:szCs w:val="24"/>
        </w:rPr>
        <w:br w:type="page"/>
      </w:r>
    </w:p>
    <w:p w:rsidR="0099113B" w:rsidRPr="00EB680E" w:rsidRDefault="0099113B" w:rsidP="0099113B">
      <w:pPr>
        <w:spacing w:line="240" w:lineRule="auto"/>
        <w:jc w:val="both"/>
        <w:rPr>
          <w:rFonts w:cs="Times New Roman"/>
          <w:szCs w:val="24"/>
        </w:rPr>
      </w:pPr>
      <w:r w:rsidRPr="00EB680E">
        <w:rPr>
          <w:rFonts w:cs="Times New Roman"/>
          <w:b/>
          <w:szCs w:val="24"/>
        </w:rPr>
        <w:t>Table A4b</w:t>
      </w:r>
      <w:r w:rsidRPr="00EB680E">
        <w:rPr>
          <w:rFonts w:cs="Times New Roman"/>
          <w:szCs w:val="24"/>
        </w:rPr>
        <w:t xml:space="preserve">. Estimates of issue ownership across countries in the 2000s. </w:t>
      </w:r>
    </w:p>
    <w:tbl>
      <w:tblPr>
        <w:tblW w:w="14850" w:type="dxa"/>
        <w:tblInd w:w="-72" w:type="dxa"/>
        <w:tblLayout w:type="fixed"/>
        <w:tblLook w:val="0000" w:firstRow="0" w:lastRow="0" w:firstColumn="0" w:lastColumn="0" w:noHBand="0" w:noVBand="0"/>
      </w:tblPr>
      <w:tblGrid>
        <w:gridCol w:w="1523"/>
        <w:gridCol w:w="1229"/>
        <w:gridCol w:w="1028"/>
        <w:gridCol w:w="1176"/>
        <w:gridCol w:w="1229"/>
        <w:gridCol w:w="1088"/>
        <w:gridCol w:w="1088"/>
        <w:gridCol w:w="1088"/>
        <w:gridCol w:w="1088"/>
        <w:gridCol w:w="1088"/>
        <w:gridCol w:w="1229"/>
        <w:gridCol w:w="916"/>
        <w:gridCol w:w="1080"/>
      </w:tblGrid>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3433" w:type="dxa"/>
            <w:gridSpan w:val="3"/>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Econ</w:t>
            </w:r>
            <w:r>
              <w:rPr>
                <w:rFonts w:cs="Times New Roman"/>
                <w:szCs w:val="24"/>
              </w:rPr>
              <w:t>omy</w:t>
            </w:r>
          </w:p>
        </w:tc>
        <w:tc>
          <w:tcPr>
            <w:tcW w:w="3405"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Education</w:t>
            </w:r>
          </w:p>
        </w:tc>
        <w:tc>
          <w:tcPr>
            <w:tcW w:w="3264"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Elderly care</w:t>
            </w:r>
          </w:p>
        </w:tc>
        <w:tc>
          <w:tcPr>
            <w:tcW w:w="3225" w:type="dxa"/>
            <w:gridSpan w:val="3"/>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Unemployment</w:t>
            </w:r>
          </w:p>
        </w:tc>
      </w:tr>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2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176"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29"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29"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916"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0"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r>
      <w:tr w:rsidR="0099113B" w:rsidRPr="00EB680E" w:rsidTr="0099113B">
        <w:trPr>
          <w:trHeight w:val="684"/>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Constant</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15.16</w:t>
            </w:r>
            <w:r w:rsidRPr="00EB680E">
              <w:rPr>
                <w:rFonts w:cs="Times New Roman"/>
                <w:szCs w:val="24"/>
                <w:vertAlign w:val="superscript"/>
              </w:rPr>
              <w:t>***</w:t>
            </w:r>
            <w:r w:rsidRPr="00EB680E">
              <w:rPr>
                <w:rFonts w:cs="Times New Roman"/>
                <w:szCs w:val="24"/>
              </w:rPr>
              <w:br/>
              <w:t>(4.32)</w:t>
            </w:r>
          </w:p>
        </w:tc>
        <w:tc>
          <w:tcPr>
            <w:tcW w:w="102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16.91</w:t>
            </w:r>
            <w:r w:rsidRPr="00EB680E">
              <w:rPr>
                <w:rFonts w:cs="Times New Roman"/>
                <w:szCs w:val="24"/>
                <w:vertAlign w:val="superscript"/>
              </w:rPr>
              <w:t>***</w:t>
            </w:r>
            <w:r w:rsidRPr="00EB680E">
              <w:rPr>
                <w:rFonts w:cs="Times New Roman"/>
                <w:szCs w:val="24"/>
              </w:rPr>
              <w:br/>
              <w:t>(3.92)</w:t>
            </w:r>
          </w:p>
        </w:tc>
        <w:tc>
          <w:tcPr>
            <w:tcW w:w="1176"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22.54</w:t>
            </w:r>
            <w:r w:rsidRPr="00EB680E">
              <w:rPr>
                <w:rFonts w:cs="Times New Roman"/>
                <w:szCs w:val="24"/>
                <w:vertAlign w:val="superscript"/>
              </w:rPr>
              <w:t>***</w:t>
            </w:r>
            <w:r w:rsidRPr="00EB680E">
              <w:rPr>
                <w:rFonts w:cs="Times New Roman"/>
                <w:szCs w:val="24"/>
              </w:rPr>
              <w:br/>
              <w:t>(4.92)</w:t>
            </w:r>
          </w:p>
        </w:tc>
        <w:tc>
          <w:tcPr>
            <w:tcW w:w="1229"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-1.45</w:t>
            </w:r>
            <w:r w:rsidRPr="00EB680E">
              <w:rPr>
                <w:rFonts w:cs="Times New Roman"/>
                <w:szCs w:val="24"/>
              </w:rPr>
              <w:br/>
              <w:t>(3.48)</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-5.23</w:t>
            </w:r>
            <w:r w:rsidRPr="00EB680E">
              <w:rPr>
                <w:rFonts w:cs="Times New Roman"/>
                <w:szCs w:val="24"/>
                <w:vertAlign w:val="superscript"/>
              </w:rPr>
              <w:t>*</w:t>
            </w:r>
            <w:r w:rsidRPr="00EB680E">
              <w:rPr>
                <w:rFonts w:cs="Times New Roman"/>
                <w:szCs w:val="24"/>
              </w:rPr>
              <w:br/>
              <w:t>(3.07)</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-8.79</w:t>
            </w:r>
            <w:r w:rsidRPr="00EB680E">
              <w:rPr>
                <w:rFonts w:cs="Times New Roman"/>
                <w:szCs w:val="24"/>
                <w:vertAlign w:val="superscript"/>
              </w:rPr>
              <w:t>**</w:t>
            </w:r>
            <w:r w:rsidRPr="00EB680E">
              <w:rPr>
                <w:rFonts w:cs="Times New Roman"/>
                <w:szCs w:val="24"/>
              </w:rPr>
              <w:br/>
              <w:t>(4.06)</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-9.10</w:t>
            </w:r>
            <w:r w:rsidRPr="00EB680E">
              <w:rPr>
                <w:rFonts w:cs="Times New Roman"/>
                <w:szCs w:val="24"/>
                <w:vertAlign w:val="superscript"/>
              </w:rPr>
              <w:t>*</w:t>
            </w:r>
            <w:r w:rsidRPr="00EB680E">
              <w:rPr>
                <w:rFonts w:cs="Times New Roman"/>
                <w:szCs w:val="24"/>
              </w:rPr>
              <w:br/>
              <w:t>(4.71)</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-5.67</w:t>
            </w:r>
            <w:r w:rsidRPr="00EB680E">
              <w:rPr>
                <w:rFonts w:cs="Times New Roman"/>
                <w:szCs w:val="24"/>
              </w:rPr>
              <w:br/>
              <w:t>(4.55)</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3.02</w:t>
            </w:r>
            <w:r w:rsidRPr="00EB680E">
              <w:rPr>
                <w:rFonts w:cs="Times New Roman"/>
                <w:szCs w:val="24"/>
              </w:rPr>
              <w:br/>
              <w:t>(3.88)</w:t>
            </w:r>
          </w:p>
        </w:tc>
        <w:tc>
          <w:tcPr>
            <w:tcW w:w="1229"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-9.16</w:t>
            </w:r>
            <w:r w:rsidRPr="00EB680E">
              <w:rPr>
                <w:rFonts w:cs="Times New Roman"/>
                <w:szCs w:val="24"/>
                <w:vertAlign w:val="superscript"/>
              </w:rPr>
              <w:t>**</w:t>
            </w:r>
            <w:r w:rsidRPr="00EB680E">
              <w:rPr>
                <w:rFonts w:cs="Times New Roman"/>
                <w:szCs w:val="24"/>
              </w:rPr>
              <w:br/>
              <w:t>(3.67)</w:t>
            </w:r>
          </w:p>
        </w:tc>
        <w:tc>
          <w:tcPr>
            <w:tcW w:w="916"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0.50</w:t>
            </w:r>
            <w:r w:rsidRPr="00EB680E">
              <w:rPr>
                <w:rFonts w:cs="Times New Roman"/>
                <w:szCs w:val="24"/>
              </w:rPr>
              <w:br/>
              <w:t>(3.15)</w:t>
            </w:r>
          </w:p>
        </w:tc>
        <w:tc>
          <w:tcPr>
            <w:tcW w:w="1080"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7.40</w:t>
            </w:r>
            <w:r w:rsidRPr="00EB680E">
              <w:rPr>
                <w:rFonts w:cs="Times New Roman"/>
                <w:szCs w:val="24"/>
                <w:vertAlign w:val="superscript"/>
              </w:rPr>
              <w:t>*</w:t>
            </w:r>
            <w:r w:rsidRPr="00EB680E">
              <w:rPr>
                <w:rFonts w:cs="Times New Roman"/>
                <w:szCs w:val="24"/>
              </w:rPr>
              <w:br/>
              <w:t>(3.58)</w:t>
            </w:r>
          </w:p>
        </w:tc>
      </w:tr>
      <w:tr w:rsidR="0099113B" w:rsidRPr="00EB680E" w:rsidTr="0099113B">
        <w:trPr>
          <w:trHeight w:val="395"/>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Obs</w:t>
            </w:r>
            <w:r>
              <w:rPr>
                <w:rFonts w:cs="Times New Roman"/>
                <w:szCs w:val="24"/>
              </w:rPr>
              <w:t>ervations</w:t>
            </w:r>
          </w:p>
        </w:tc>
        <w:tc>
          <w:tcPr>
            <w:tcW w:w="122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36</w:t>
            </w:r>
          </w:p>
        </w:tc>
        <w:tc>
          <w:tcPr>
            <w:tcW w:w="102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40</w:t>
            </w:r>
          </w:p>
        </w:tc>
        <w:tc>
          <w:tcPr>
            <w:tcW w:w="1176"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28</w:t>
            </w:r>
          </w:p>
        </w:tc>
        <w:tc>
          <w:tcPr>
            <w:tcW w:w="1229"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29</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34</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23</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14</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15</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11</w:t>
            </w:r>
          </w:p>
        </w:tc>
        <w:tc>
          <w:tcPr>
            <w:tcW w:w="1229"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35</w:t>
            </w:r>
          </w:p>
        </w:tc>
        <w:tc>
          <w:tcPr>
            <w:tcW w:w="916"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45</w:t>
            </w:r>
          </w:p>
        </w:tc>
        <w:tc>
          <w:tcPr>
            <w:tcW w:w="1080"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35</w:t>
            </w:r>
          </w:p>
        </w:tc>
      </w:tr>
      <w:tr w:rsidR="0099113B" w:rsidRPr="00EB680E" w:rsidTr="0099113B">
        <w:trPr>
          <w:trHeight w:val="365"/>
        </w:trPr>
        <w:tc>
          <w:tcPr>
            <w:tcW w:w="1523" w:type="dxa"/>
            <w:tcBorders>
              <w:top w:val="nil"/>
              <w:left w:val="nil"/>
              <w:bottom w:val="single" w:sz="4" w:space="0" w:color="auto"/>
              <w:right w:val="nil"/>
            </w:tcBorders>
            <w:shd w:val="clear" w:color="auto" w:fill="auto"/>
          </w:tcPr>
          <w:p w:rsidR="0099113B" w:rsidRPr="003E2F80" w:rsidRDefault="0099113B" w:rsidP="0099113B">
            <w:pPr>
              <w:widowControl w:val="0"/>
              <w:autoSpaceDE w:val="0"/>
              <w:autoSpaceDN w:val="0"/>
              <w:adjustRightInd w:val="0"/>
              <w:spacing w:line="240" w:lineRule="auto"/>
              <w:rPr>
                <w:rFonts w:cs="Times New Roman"/>
                <w:szCs w:val="24"/>
              </w:rPr>
            </w:pPr>
            <w:r w:rsidRPr="003E2F80">
              <w:rPr>
                <w:rFonts w:cs="Times New Roman"/>
                <w:szCs w:val="24"/>
              </w:rPr>
              <w:t>Country excluded</w:t>
            </w:r>
          </w:p>
        </w:tc>
        <w:tc>
          <w:tcPr>
            <w:tcW w:w="1229" w:type="dxa"/>
            <w:tcBorders>
              <w:top w:val="nil"/>
              <w:left w:val="nil"/>
              <w:bottom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Denmark</w:t>
            </w:r>
          </w:p>
        </w:tc>
        <w:tc>
          <w:tcPr>
            <w:tcW w:w="1028" w:type="dxa"/>
            <w:tcBorders>
              <w:top w:val="nil"/>
              <w:left w:val="nil"/>
              <w:bottom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176" w:type="dxa"/>
            <w:tcBorders>
              <w:top w:val="single" w:sz="4" w:space="0" w:color="auto"/>
              <w:left w:val="nil"/>
              <w:bottom w:val="single" w:sz="4" w:space="0" w:color="auto"/>
              <w:right w:val="single" w:sz="4" w:space="0" w:color="auto"/>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c>
          <w:tcPr>
            <w:tcW w:w="1229" w:type="dxa"/>
            <w:tcBorders>
              <w:top w:val="nil"/>
              <w:left w:val="single" w:sz="4" w:space="0" w:color="auto"/>
              <w:bottom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Australia</w:t>
            </w:r>
          </w:p>
        </w:tc>
        <w:tc>
          <w:tcPr>
            <w:tcW w:w="1088" w:type="dxa"/>
            <w:tcBorders>
              <w:top w:val="nil"/>
              <w:left w:val="nil"/>
              <w:bottom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c>
          <w:tcPr>
            <w:tcW w:w="1088" w:type="dxa"/>
            <w:tcBorders>
              <w:top w:val="nil"/>
              <w:left w:val="single" w:sz="4" w:space="0" w:color="auto"/>
              <w:bottom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Finland</w:t>
            </w:r>
          </w:p>
        </w:tc>
        <w:tc>
          <w:tcPr>
            <w:tcW w:w="1088" w:type="dxa"/>
            <w:tcBorders>
              <w:top w:val="nil"/>
              <w:left w:val="nil"/>
              <w:bottom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Finland</w:t>
            </w:r>
          </w:p>
        </w:tc>
        <w:tc>
          <w:tcPr>
            <w:tcW w:w="1229" w:type="dxa"/>
            <w:tcBorders>
              <w:top w:val="nil"/>
              <w:left w:val="single" w:sz="4" w:space="0" w:color="auto"/>
              <w:bottom w:val="single" w:sz="4" w:space="0" w:color="auto"/>
              <w:right w:val="nil"/>
            </w:tcBorders>
            <w:shd w:val="clear" w:color="auto" w:fill="auto"/>
          </w:tcPr>
          <w:p w:rsidR="0099113B" w:rsidRPr="003E2F80"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Germany</w:t>
            </w:r>
          </w:p>
        </w:tc>
        <w:tc>
          <w:tcPr>
            <w:tcW w:w="916" w:type="dxa"/>
            <w:tcBorders>
              <w:top w:val="nil"/>
              <w:left w:val="nil"/>
              <w:bottom w:val="single" w:sz="4" w:space="0" w:color="auto"/>
              <w:right w:val="nil"/>
            </w:tcBorders>
            <w:shd w:val="clear" w:color="auto" w:fill="auto"/>
          </w:tcPr>
          <w:p w:rsidR="0099113B" w:rsidRPr="003E2F80" w:rsidRDefault="0099113B" w:rsidP="0099113B">
            <w:pPr>
              <w:widowControl w:val="0"/>
              <w:autoSpaceDE w:val="0"/>
              <w:autoSpaceDN w:val="0"/>
              <w:adjustRightInd w:val="0"/>
              <w:spacing w:line="240" w:lineRule="auto"/>
              <w:jc w:val="center"/>
              <w:rPr>
                <w:rFonts w:cs="Times New Roman"/>
                <w:szCs w:val="24"/>
              </w:rPr>
            </w:pPr>
          </w:p>
        </w:tc>
        <w:tc>
          <w:tcPr>
            <w:tcW w:w="1080" w:type="dxa"/>
            <w:tcBorders>
              <w:top w:val="nil"/>
              <w:left w:val="nil"/>
              <w:bottom w:val="single" w:sz="4" w:space="0" w:color="auto"/>
              <w:right w:val="nil"/>
            </w:tcBorders>
            <w:shd w:val="clear" w:color="auto" w:fill="auto"/>
          </w:tcPr>
          <w:p w:rsidR="0099113B" w:rsidRPr="003E2F80" w:rsidRDefault="0099113B" w:rsidP="0099113B">
            <w:pPr>
              <w:widowControl w:val="0"/>
              <w:autoSpaceDE w:val="0"/>
              <w:autoSpaceDN w:val="0"/>
              <w:adjustRightInd w:val="0"/>
              <w:spacing w:line="240" w:lineRule="auto"/>
              <w:jc w:val="center"/>
              <w:rPr>
                <w:rFonts w:cs="Times New Roman"/>
                <w:szCs w:val="24"/>
              </w:rPr>
            </w:pPr>
            <w:r w:rsidRPr="003E2F80">
              <w:rPr>
                <w:rFonts w:cs="Times New Roman"/>
                <w:szCs w:val="24"/>
              </w:rPr>
              <w:t>UK</w:t>
            </w:r>
          </w:p>
        </w:tc>
      </w:tr>
    </w:tbl>
    <w:p w:rsidR="0099113B" w:rsidRPr="00CD0C96" w:rsidRDefault="0099113B" w:rsidP="0099113B">
      <w:pPr>
        <w:widowControl w:val="0"/>
        <w:autoSpaceDE w:val="0"/>
        <w:autoSpaceDN w:val="0"/>
        <w:adjustRightInd w:val="0"/>
        <w:spacing w:line="240" w:lineRule="auto"/>
        <w:jc w:val="both"/>
        <w:rPr>
          <w:rFonts w:cs="Times New Roman"/>
          <w:szCs w:val="24"/>
        </w:rPr>
      </w:pPr>
      <w:r w:rsidRPr="00EB680E">
        <w:rPr>
          <w:rFonts w:cs="Times New Roman"/>
          <w:szCs w:val="24"/>
        </w:rPr>
        <w:t xml:space="preserve">Note: Standard errors in parentheses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0.10,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0.05,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0.01. Fixed effects regression with country-panels. Jackknife analysis with countries excluded one by one. The estimations with the weakest and strongest coefficient are reported alongside the full model for each issue.</w:t>
      </w:r>
      <w:r>
        <w:rPr>
          <w:rFonts w:cs="Times New Roman"/>
          <w:szCs w:val="24"/>
          <w:vertAlign w:val="superscript"/>
        </w:rPr>
        <w:t xml:space="preserve"> </w:t>
      </w:r>
      <w:r>
        <w:rPr>
          <w:rFonts w:cs="Times New Roman"/>
          <w:szCs w:val="24"/>
        </w:rPr>
        <w:t>Observations are country-years.</w:t>
      </w:r>
    </w:p>
    <w:p w:rsidR="0099113B" w:rsidRPr="00EB680E" w:rsidRDefault="0099113B" w:rsidP="0099113B">
      <w:pPr>
        <w:spacing w:line="240" w:lineRule="auto"/>
        <w:jc w:val="both"/>
        <w:rPr>
          <w:rFonts w:cs="Times New Roman"/>
          <w:b/>
          <w:szCs w:val="24"/>
        </w:rPr>
      </w:pPr>
      <w:r w:rsidRPr="00EB680E">
        <w:rPr>
          <w:rFonts w:cs="Times New Roman"/>
          <w:szCs w:val="24"/>
        </w:rPr>
        <w:t xml:space="preserve"> </w:t>
      </w:r>
    </w:p>
    <w:p w:rsidR="0099113B" w:rsidRPr="00EB680E" w:rsidRDefault="0099113B" w:rsidP="0099113B">
      <w:pPr>
        <w:spacing w:line="240" w:lineRule="auto"/>
        <w:jc w:val="both"/>
        <w:rPr>
          <w:rFonts w:cs="Times New Roman"/>
          <w:b/>
          <w:szCs w:val="24"/>
        </w:rPr>
      </w:pPr>
    </w:p>
    <w:p w:rsidR="0099113B" w:rsidRDefault="0099113B" w:rsidP="0099113B">
      <w:pPr>
        <w:rPr>
          <w:rFonts w:cs="Times New Roman"/>
          <w:b/>
          <w:szCs w:val="24"/>
        </w:rPr>
      </w:pPr>
      <w:r>
        <w:rPr>
          <w:rFonts w:cs="Times New Roman"/>
          <w:b/>
          <w:szCs w:val="24"/>
        </w:rPr>
        <w:br w:type="page"/>
      </w:r>
    </w:p>
    <w:p w:rsidR="0099113B" w:rsidRPr="00EB680E" w:rsidRDefault="0099113B" w:rsidP="0099113B">
      <w:pPr>
        <w:spacing w:line="240" w:lineRule="auto"/>
        <w:jc w:val="both"/>
        <w:rPr>
          <w:rFonts w:cs="Times New Roman"/>
          <w:szCs w:val="24"/>
        </w:rPr>
      </w:pPr>
      <w:r w:rsidRPr="00EB680E">
        <w:rPr>
          <w:rFonts w:cs="Times New Roman"/>
          <w:b/>
          <w:szCs w:val="24"/>
        </w:rPr>
        <w:t>Table A4c</w:t>
      </w:r>
      <w:r w:rsidRPr="00EB680E">
        <w:rPr>
          <w:rFonts w:cs="Times New Roman"/>
          <w:szCs w:val="24"/>
        </w:rPr>
        <w:t xml:space="preserve">. Estimates of issue ownership across countries in the 2000s. </w:t>
      </w:r>
    </w:p>
    <w:tbl>
      <w:tblPr>
        <w:tblW w:w="14888" w:type="dxa"/>
        <w:tblInd w:w="-72" w:type="dxa"/>
        <w:tblLayout w:type="fixed"/>
        <w:tblLook w:val="0000" w:firstRow="0" w:lastRow="0" w:firstColumn="0" w:lastColumn="0" w:noHBand="0" w:noVBand="0"/>
      </w:tblPr>
      <w:tblGrid>
        <w:gridCol w:w="1523"/>
        <w:gridCol w:w="1088"/>
        <w:gridCol w:w="989"/>
        <w:gridCol w:w="1187"/>
        <w:gridCol w:w="1088"/>
        <w:gridCol w:w="1088"/>
        <w:gridCol w:w="1088"/>
        <w:gridCol w:w="1088"/>
        <w:gridCol w:w="1088"/>
        <w:gridCol w:w="1229"/>
        <w:gridCol w:w="1088"/>
        <w:gridCol w:w="1088"/>
        <w:gridCol w:w="1256"/>
      </w:tblGrid>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3264" w:type="dxa"/>
            <w:gridSpan w:val="3"/>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Families</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Health</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3405"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Social security</w:t>
            </w:r>
          </w:p>
        </w:tc>
        <w:tc>
          <w:tcPr>
            <w:tcW w:w="3432" w:type="dxa"/>
            <w:gridSpan w:val="3"/>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Environ</w:t>
            </w:r>
            <w:r>
              <w:rPr>
                <w:rFonts w:cs="Times New Roman"/>
                <w:szCs w:val="24"/>
              </w:rPr>
              <w:t>ment</w:t>
            </w:r>
          </w:p>
        </w:tc>
      </w:tr>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989"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187"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229"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256"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r>
      <w:tr w:rsidR="0099113B" w:rsidRPr="00EB680E" w:rsidTr="0099113B">
        <w:trPr>
          <w:trHeight w:val="684"/>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Constant</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-9.49</w:t>
            </w:r>
            <w:r w:rsidRPr="00EB680E">
              <w:rPr>
                <w:rFonts w:cs="Times New Roman"/>
                <w:szCs w:val="24"/>
              </w:rPr>
              <w:br/>
              <w:t>(5.61)</w:t>
            </w:r>
          </w:p>
        </w:tc>
        <w:tc>
          <w:tcPr>
            <w:tcW w:w="98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0.44</w:t>
            </w:r>
            <w:r w:rsidRPr="00EB680E">
              <w:rPr>
                <w:rFonts w:cs="Times New Roman"/>
                <w:szCs w:val="24"/>
              </w:rPr>
              <w:br/>
              <w:t>(5.19)</w:t>
            </w:r>
          </w:p>
        </w:tc>
        <w:tc>
          <w:tcPr>
            <w:tcW w:w="1187"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9.78</w:t>
            </w:r>
            <w:r w:rsidRPr="00EB680E">
              <w:rPr>
                <w:rFonts w:cs="Times New Roman"/>
                <w:szCs w:val="24"/>
              </w:rPr>
              <w:br/>
              <w:t>(5.96)</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-10.48</w:t>
            </w:r>
            <w:r w:rsidRPr="00EB680E">
              <w:rPr>
                <w:rFonts w:cs="Times New Roman"/>
                <w:szCs w:val="24"/>
                <w:vertAlign w:val="superscript"/>
              </w:rPr>
              <w:t>***</w:t>
            </w:r>
            <w:r w:rsidRPr="00EB680E">
              <w:rPr>
                <w:rFonts w:cs="Times New Roman"/>
                <w:szCs w:val="24"/>
              </w:rPr>
              <w:br/>
              <w:t>(2.86)</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-7.00</w:t>
            </w:r>
            <w:r w:rsidRPr="00EB680E">
              <w:rPr>
                <w:rFonts w:cs="Times New Roman"/>
                <w:szCs w:val="24"/>
                <w:vertAlign w:val="superscript"/>
              </w:rPr>
              <w:t>**</w:t>
            </w:r>
            <w:r w:rsidRPr="00EB680E">
              <w:rPr>
                <w:rFonts w:cs="Times New Roman"/>
                <w:szCs w:val="24"/>
              </w:rPr>
              <w:br/>
              <w:t>(2.67)</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-5.40</w:t>
            </w:r>
            <w:r w:rsidRPr="00EB680E">
              <w:rPr>
                <w:rFonts w:cs="Times New Roman"/>
                <w:szCs w:val="24"/>
                <w:vertAlign w:val="superscript"/>
              </w:rPr>
              <w:t>*</w:t>
            </w:r>
            <w:r w:rsidRPr="00EB680E">
              <w:rPr>
                <w:rFonts w:cs="Times New Roman"/>
                <w:szCs w:val="24"/>
              </w:rPr>
              <w:br/>
              <w:t>(2.76)</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-22.59</w:t>
            </w:r>
            <w:r w:rsidRPr="00EB680E">
              <w:rPr>
                <w:rFonts w:cs="Times New Roman"/>
                <w:szCs w:val="24"/>
                <w:vertAlign w:val="superscript"/>
              </w:rPr>
              <w:t>***</w:t>
            </w:r>
            <w:r w:rsidRPr="00EB680E">
              <w:rPr>
                <w:rFonts w:cs="Times New Roman"/>
                <w:szCs w:val="24"/>
              </w:rPr>
              <w:br/>
              <w:t>(3.80)</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-29.60</w:t>
            </w:r>
            <w:r w:rsidRPr="00EB680E">
              <w:rPr>
                <w:rFonts w:cs="Times New Roman"/>
                <w:szCs w:val="24"/>
                <w:vertAlign w:val="superscript"/>
              </w:rPr>
              <w:t>***</w:t>
            </w:r>
            <w:r w:rsidRPr="00EB680E">
              <w:rPr>
                <w:rFonts w:cs="Times New Roman"/>
                <w:szCs w:val="24"/>
              </w:rPr>
              <w:br/>
              <w:t>(3.01)</w:t>
            </w:r>
          </w:p>
        </w:tc>
        <w:tc>
          <w:tcPr>
            <w:tcW w:w="1229"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-34.47</w:t>
            </w:r>
            <w:r w:rsidRPr="00EB680E">
              <w:rPr>
                <w:rFonts w:cs="Times New Roman"/>
                <w:szCs w:val="24"/>
                <w:vertAlign w:val="superscript"/>
              </w:rPr>
              <w:t>***</w:t>
            </w:r>
            <w:r w:rsidRPr="00EB680E">
              <w:rPr>
                <w:rFonts w:cs="Times New Roman"/>
                <w:szCs w:val="24"/>
              </w:rPr>
              <w:br/>
              <w:t>(3.50)</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-41.60</w:t>
            </w:r>
            <w:r w:rsidRPr="00EB680E">
              <w:rPr>
                <w:rFonts w:cs="Times New Roman"/>
                <w:szCs w:val="24"/>
                <w:vertAlign w:val="superscript"/>
              </w:rPr>
              <w:t>***</w:t>
            </w:r>
            <w:r w:rsidRPr="00EB680E">
              <w:rPr>
                <w:rFonts w:cs="Times New Roman"/>
                <w:szCs w:val="24"/>
              </w:rPr>
              <w:br/>
              <w:t>(2.87)</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-44.73</w:t>
            </w:r>
            <w:r w:rsidRPr="00EB680E">
              <w:rPr>
                <w:rFonts w:cs="Times New Roman"/>
                <w:szCs w:val="24"/>
                <w:vertAlign w:val="superscript"/>
              </w:rPr>
              <w:t>***</w:t>
            </w:r>
            <w:r w:rsidRPr="00EB680E">
              <w:rPr>
                <w:rFonts w:cs="Times New Roman"/>
                <w:szCs w:val="24"/>
              </w:rPr>
              <w:br/>
              <w:t>(2.85)</w:t>
            </w:r>
          </w:p>
        </w:tc>
        <w:tc>
          <w:tcPr>
            <w:tcW w:w="1256"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-51.09</w:t>
            </w:r>
            <w:r w:rsidRPr="00EB680E">
              <w:rPr>
                <w:rFonts w:cs="Times New Roman"/>
                <w:szCs w:val="24"/>
                <w:vertAlign w:val="superscript"/>
              </w:rPr>
              <w:t>***</w:t>
            </w:r>
            <w:r w:rsidRPr="00EB680E">
              <w:rPr>
                <w:rFonts w:cs="Times New Roman"/>
                <w:szCs w:val="24"/>
              </w:rPr>
              <w:br/>
              <w:t>(2.98)</w:t>
            </w:r>
          </w:p>
        </w:tc>
      </w:tr>
      <w:tr w:rsidR="0099113B" w:rsidRPr="00EB680E" w:rsidTr="0099113B">
        <w:trPr>
          <w:trHeight w:val="395"/>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Obs</w:t>
            </w:r>
            <w:r>
              <w:rPr>
                <w:rFonts w:cs="Times New Roman"/>
                <w:szCs w:val="24"/>
              </w:rPr>
              <w:t>ervations</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10</w:t>
            </w:r>
          </w:p>
        </w:tc>
        <w:tc>
          <w:tcPr>
            <w:tcW w:w="989"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16</w:t>
            </w:r>
          </w:p>
        </w:tc>
        <w:tc>
          <w:tcPr>
            <w:tcW w:w="1187"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13</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39</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42</w:t>
            </w: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39</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8</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10</w:t>
            </w:r>
          </w:p>
        </w:tc>
        <w:tc>
          <w:tcPr>
            <w:tcW w:w="1229"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8</w:t>
            </w:r>
          </w:p>
        </w:tc>
        <w:tc>
          <w:tcPr>
            <w:tcW w:w="1088" w:type="dxa"/>
            <w:tcBorders>
              <w:top w:val="single" w:sz="4" w:space="0" w:color="auto"/>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21</w:t>
            </w:r>
          </w:p>
        </w:tc>
        <w:tc>
          <w:tcPr>
            <w:tcW w:w="1088"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23</w:t>
            </w:r>
          </w:p>
        </w:tc>
        <w:tc>
          <w:tcPr>
            <w:tcW w:w="1256"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18</w:t>
            </w:r>
          </w:p>
        </w:tc>
      </w:tr>
      <w:tr w:rsidR="0099113B" w:rsidRPr="00EB680E" w:rsidTr="0099113B">
        <w:trPr>
          <w:trHeight w:val="365"/>
        </w:trPr>
        <w:tc>
          <w:tcPr>
            <w:tcW w:w="1523"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Country excluded</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UK</w:t>
            </w:r>
          </w:p>
        </w:tc>
        <w:tc>
          <w:tcPr>
            <w:tcW w:w="989"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187"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Denmark</w:t>
            </w:r>
          </w:p>
        </w:tc>
        <w:tc>
          <w:tcPr>
            <w:tcW w:w="1088"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szCs w:val="24"/>
              </w:rPr>
            </w:pPr>
            <w:r>
              <w:rPr>
                <w:szCs w:val="24"/>
              </w:rPr>
              <w:t>Canada</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szCs w:val="24"/>
              </w:rPr>
            </w:pPr>
            <w:r>
              <w:rPr>
                <w:szCs w:val="24"/>
              </w:rPr>
              <w:t>NZ</w:t>
            </w:r>
          </w:p>
        </w:tc>
        <w:tc>
          <w:tcPr>
            <w:tcW w:w="1088"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France</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Finland</w:t>
            </w:r>
          </w:p>
        </w:tc>
        <w:tc>
          <w:tcPr>
            <w:tcW w:w="1088"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France</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56"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Australia</w:t>
            </w:r>
          </w:p>
        </w:tc>
      </w:tr>
    </w:tbl>
    <w:p w:rsidR="0099113B" w:rsidRPr="00CD0C96" w:rsidRDefault="0099113B" w:rsidP="0099113B">
      <w:pPr>
        <w:widowControl w:val="0"/>
        <w:autoSpaceDE w:val="0"/>
        <w:autoSpaceDN w:val="0"/>
        <w:adjustRightInd w:val="0"/>
        <w:spacing w:line="240" w:lineRule="auto"/>
        <w:jc w:val="both"/>
        <w:rPr>
          <w:rFonts w:cs="Times New Roman"/>
          <w:szCs w:val="24"/>
        </w:rPr>
      </w:pPr>
      <w:r w:rsidRPr="00EB680E">
        <w:rPr>
          <w:rFonts w:cs="Times New Roman"/>
          <w:szCs w:val="24"/>
        </w:rPr>
        <w:t xml:space="preserve">Note: Standard errors in parentheses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0.10,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0.05,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0.01. Fixed effects regression with country-panels. Jackknife analysis with countries excluded one by one. The estimations with the weakest and strongest coefficient are reported alongside the full model for each issue.</w:t>
      </w:r>
      <w:r>
        <w:rPr>
          <w:rFonts w:cs="Times New Roman"/>
          <w:szCs w:val="24"/>
        </w:rPr>
        <w:t xml:space="preserve"> Observations are country-years.</w:t>
      </w:r>
    </w:p>
    <w:p w:rsidR="0099113B" w:rsidRPr="00EB680E" w:rsidRDefault="0099113B" w:rsidP="0099113B">
      <w:pPr>
        <w:spacing w:line="240" w:lineRule="auto"/>
        <w:jc w:val="both"/>
        <w:rPr>
          <w:rFonts w:cs="Times New Roman"/>
          <w:b/>
          <w:szCs w:val="24"/>
        </w:rPr>
      </w:pPr>
    </w:p>
    <w:p w:rsidR="0099113B" w:rsidRPr="00EB680E" w:rsidRDefault="0099113B" w:rsidP="0099113B">
      <w:pPr>
        <w:rPr>
          <w:rFonts w:cs="Times New Roman"/>
          <w:b/>
          <w:szCs w:val="24"/>
        </w:rPr>
      </w:pPr>
      <w:r w:rsidRPr="00EB680E">
        <w:rPr>
          <w:rFonts w:cs="Times New Roman"/>
          <w:b/>
          <w:szCs w:val="24"/>
        </w:rPr>
        <w:br w:type="page"/>
      </w:r>
    </w:p>
    <w:p w:rsidR="0099113B" w:rsidRPr="00CD0F3A" w:rsidRDefault="0099113B" w:rsidP="0099113B">
      <w:pPr>
        <w:rPr>
          <w:rFonts w:cs="Times New Roman"/>
          <w:szCs w:val="24"/>
        </w:rPr>
      </w:pPr>
      <w:r w:rsidRPr="00CD0F3A">
        <w:rPr>
          <w:rFonts w:cs="Times New Roman"/>
          <w:b/>
          <w:szCs w:val="24"/>
        </w:rPr>
        <w:t>Table A5</w:t>
      </w:r>
      <w:r w:rsidRPr="00CD0F3A">
        <w:rPr>
          <w:rFonts w:cs="Times New Roman"/>
          <w:szCs w:val="24"/>
        </w:rPr>
        <w:t>. Average issue ownership in the 2000s across countries and issues.</w:t>
      </w:r>
    </w:p>
    <w:tbl>
      <w:tblPr>
        <w:tblW w:w="13155" w:type="dxa"/>
        <w:tblInd w:w="93" w:type="dxa"/>
        <w:tblLook w:val="04A0" w:firstRow="1" w:lastRow="0" w:firstColumn="1" w:lastColumn="0" w:noHBand="0" w:noVBand="1"/>
      </w:tblPr>
      <w:tblGrid>
        <w:gridCol w:w="1363"/>
        <w:gridCol w:w="1070"/>
        <w:gridCol w:w="988"/>
        <w:gridCol w:w="856"/>
        <w:gridCol w:w="1043"/>
        <w:gridCol w:w="1310"/>
        <w:gridCol w:w="923"/>
        <w:gridCol w:w="1190"/>
        <w:gridCol w:w="1136"/>
        <w:gridCol w:w="636"/>
        <w:gridCol w:w="733"/>
        <w:gridCol w:w="1098"/>
        <w:gridCol w:w="1403"/>
      </w:tblGrid>
      <w:tr w:rsidR="0099113B" w:rsidRPr="00CD0F3A" w:rsidTr="0099113B">
        <w:trPr>
          <w:trHeight w:val="255"/>
        </w:trPr>
        <w:tc>
          <w:tcPr>
            <w:tcW w:w="1246"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13"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Environ</w:t>
            </w:r>
            <w:r w:rsidRPr="00CD0F3A">
              <w:rPr>
                <w:rFonts w:eastAsia="Times New Roman" w:cs="Times New Roman"/>
                <w:szCs w:val="24"/>
              </w:rPr>
              <w:t>-</w:t>
            </w:r>
            <w:r w:rsidRPr="0039455E">
              <w:rPr>
                <w:rFonts w:eastAsia="Times New Roman" w:cs="Times New Roman"/>
                <w:szCs w:val="24"/>
              </w:rPr>
              <w:t>ment</w:t>
            </w:r>
          </w:p>
        </w:tc>
        <w:tc>
          <w:tcPr>
            <w:tcW w:w="988"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Social security</w:t>
            </w:r>
          </w:p>
        </w:tc>
        <w:tc>
          <w:tcPr>
            <w:tcW w:w="808"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Health</w:t>
            </w:r>
          </w:p>
        </w:tc>
        <w:tc>
          <w:tcPr>
            <w:tcW w:w="988"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Families</w:t>
            </w:r>
          </w:p>
        </w:tc>
        <w:tc>
          <w:tcPr>
            <w:tcW w:w="1257"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Unemploy</w:t>
            </w:r>
            <w:r w:rsidRPr="00CD0F3A">
              <w:rPr>
                <w:rFonts w:eastAsia="Times New Roman" w:cs="Times New Roman"/>
                <w:szCs w:val="24"/>
              </w:rPr>
              <w:t>-</w:t>
            </w:r>
            <w:r w:rsidRPr="0039455E">
              <w:rPr>
                <w:rFonts w:eastAsia="Times New Roman" w:cs="Times New Roman"/>
                <w:szCs w:val="24"/>
              </w:rPr>
              <w:t>ment</w:t>
            </w:r>
          </w:p>
        </w:tc>
        <w:tc>
          <w:tcPr>
            <w:tcW w:w="898"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Elderly care</w:t>
            </w:r>
          </w:p>
        </w:tc>
        <w:tc>
          <w:tcPr>
            <w:tcW w:w="1104"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Education</w:t>
            </w:r>
          </w:p>
        </w:tc>
        <w:tc>
          <w:tcPr>
            <w:tcW w:w="1098"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Economy</w:t>
            </w:r>
          </w:p>
        </w:tc>
        <w:tc>
          <w:tcPr>
            <w:tcW w:w="605"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Tax</w:t>
            </w:r>
          </w:p>
        </w:tc>
        <w:tc>
          <w:tcPr>
            <w:tcW w:w="733"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EU</w:t>
            </w:r>
          </w:p>
        </w:tc>
        <w:tc>
          <w:tcPr>
            <w:tcW w:w="1098"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Law and Order</w:t>
            </w:r>
          </w:p>
        </w:tc>
        <w:tc>
          <w:tcPr>
            <w:tcW w:w="1319" w:type="dxa"/>
            <w:tcBorders>
              <w:top w:val="single" w:sz="4" w:space="0" w:color="auto"/>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Asylum/</w:t>
            </w:r>
            <w:r w:rsidRPr="00CD0F3A">
              <w:rPr>
                <w:rFonts w:eastAsia="Times New Roman" w:cs="Times New Roman"/>
                <w:szCs w:val="24"/>
              </w:rPr>
              <w:t xml:space="preserve"> </w:t>
            </w:r>
            <w:r w:rsidRPr="0039455E">
              <w:rPr>
                <w:rFonts w:eastAsia="Times New Roman" w:cs="Times New Roman"/>
                <w:szCs w:val="24"/>
              </w:rPr>
              <w:t>immigration</w:t>
            </w:r>
          </w:p>
        </w:tc>
      </w:tr>
      <w:tr w:rsidR="0099113B" w:rsidRPr="00CD0F3A" w:rsidTr="0099113B">
        <w:trPr>
          <w:trHeight w:val="255"/>
        </w:trPr>
        <w:tc>
          <w:tcPr>
            <w:tcW w:w="1246"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Sweden</w:t>
            </w:r>
          </w:p>
        </w:tc>
        <w:tc>
          <w:tcPr>
            <w:tcW w:w="1013"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-70.6</w:t>
            </w:r>
          </w:p>
        </w:tc>
        <w:tc>
          <w:tcPr>
            <w:tcW w:w="988"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08"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-17.9</w:t>
            </w:r>
          </w:p>
        </w:tc>
        <w:tc>
          <w:tcPr>
            <w:tcW w:w="988"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23.7</w:t>
            </w:r>
          </w:p>
        </w:tc>
        <w:tc>
          <w:tcPr>
            <w:tcW w:w="1257"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-9.1</w:t>
            </w:r>
          </w:p>
        </w:tc>
        <w:tc>
          <w:tcPr>
            <w:tcW w:w="898"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-6.2</w:t>
            </w:r>
          </w:p>
        </w:tc>
        <w:tc>
          <w:tcPr>
            <w:tcW w:w="1104"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-12.1</w:t>
            </w:r>
          </w:p>
        </w:tc>
        <w:tc>
          <w:tcPr>
            <w:tcW w:w="1098"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-0.4</w:t>
            </w:r>
          </w:p>
        </w:tc>
        <w:tc>
          <w:tcPr>
            <w:tcW w:w="605"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0.8</w:t>
            </w:r>
          </w:p>
        </w:tc>
        <w:tc>
          <w:tcPr>
            <w:tcW w:w="733"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-37.1</w:t>
            </w:r>
          </w:p>
        </w:tc>
        <w:tc>
          <w:tcPr>
            <w:tcW w:w="1098"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38.1</w:t>
            </w:r>
          </w:p>
        </w:tc>
        <w:tc>
          <w:tcPr>
            <w:tcW w:w="1319" w:type="dxa"/>
            <w:tcBorders>
              <w:top w:val="single" w:sz="4" w:space="0" w:color="auto"/>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11.4</w:t>
            </w: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Norway</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-19.6</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-0.1</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-6.6</w:t>
            </w: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-2.5</w:t>
            </w: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2.4</w:t>
            </w: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23.8</w:t>
            </w: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25.8</w:t>
            </w: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27.1</w:t>
            </w: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Denmark</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-56.6</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-28.0</w:t>
            </w: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-13.1</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-8.9</w:t>
            </w: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-40.0</w:t>
            </w: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-9.6</w:t>
            </w: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-29.6</w:t>
            </w: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32.6</w:t>
            </w: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23.1</w:t>
            </w: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31.2</w:t>
            </w: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51.5</w:t>
            </w: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14.9</w:t>
            </w: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Finland</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-5.7</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-10.1</w:t>
            </w: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32.6</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16.9</w:t>
            </w: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42.3</w:t>
            </w: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Belgium</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-100.0</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-58.8</w:t>
            </w: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60.3</w:t>
            </w: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71.0</w:t>
            </w: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62.9</w:t>
            </w: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41.8</w:t>
            </w:r>
          </w:p>
        </w:tc>
      </w:tr>
      <w:tr w:rsidR="0099113B" w:rsidRPr="00CD0F3A" w:rsidTr="0099113B">
        <w:trPr>
          <w:trHeight w:val="255"/>
        </w:trPr>
        <w:tc>
          <w:tcPr>
            <w:tcW w:w="2259" w:type="dxa"/>
            <w:gridSpan w:val="2"/>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Netherlands</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-64.8</w:t>
            </w: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-40.4</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-2.6</w:t>
            </w: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35.9</w:t>
            </w: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41.5</w:t>
            </w: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France</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-77.7</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-57.6</w:t>
            </w: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13.9</w:t>
            </w: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-28.7</w:t>
            </w: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12.5</w:t>
            </w: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22.5</w:t>
            </w: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75.3</w:t>
            </w: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82.3</w:t>
            </w: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Italy</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1.1</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-5.7</w:t>
            </w: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17.2</w:t>
            </w: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33.7</w:t>
            </w: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16.4</w:t>
            </w: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13.8</w:t>
            </w: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15.3</w:t>
            </w: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28.5</w:t>
            </w: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Germany</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-1.4</w:t>
            </w: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2.6</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34.3</w:t>
            </w: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35.9</w:t>
            </w: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36.0</w:t>
            </w: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62.6</w:t>
            </w: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Austria</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-2.3</w:t>
            </w: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27.4</w:t>
            </w: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57.4</w:t>
            </w: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Switzerland</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-79.1</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-14.9</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47.5</w:t>
            </w: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41.2</w:t>
            </w: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29.9</w:t>
            </w: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28.7</w:t>
            </w: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46.2</w:t>
            </w: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52.7</w:t>
            </w: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UK</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-9.6</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2.2</w:t>
            </w: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17.0</w:t>
            </w: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-23.6</w:t>
            </w: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3.8</w:t>
            </w: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18.4</w:t>
            </w: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37.8</w:t>
            </w: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20.4</w:t>
            </w: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61.9</w:t>
            </w: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Ireland</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73.1</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81.0</w:t>
            </w: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78.8</w:t>
            </w: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US</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-10.2</w:t>
            </w: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-40.6</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-65.0</w:t>
            </w: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-34.0</w:t>
            </w: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-21.1</w:t>
            </w: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-7.4</w:t>
            </w: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-36.0</w:t>
            </w: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34.3</w:t>
            </w:r>
          </w:p>
        </w:tc>
      </w:tr>
      <w:tr w:rsidR="0099113B" w:rsidRPr="00CD0F3A" w:rsidTr="0099113B">
        <w:trPr>
          <w:trHeight w:val="255"/>
        </w:trPr>
        <w:tc>
          <w:tcPr>
            <w:tcW w:w="1246"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Canada</w:t>
            </w:r>
          </w:p>
        </w:tc>
        <w:tc>
          <w:tcPr>
            <w:tcW w:w="101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-26.0</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0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38.3</w:t>
            </w:r>
          </w:p>
        </w:tc>
        <w:tc>
          <w:tcPr>
            <w:tcW w:w="98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257"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59.9</w:t>
            </w:r>
          </w:p>
        </w:tc>
        <w:tc>
          <w:tcPr>
            <w:tcW w:w="8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59.0</w:t>
            </w:r>
          </w:p>
        </w:tc>
        <w:tc>
          <w:tcPr>
            <w:tcW w:w="1104"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65.9</w:t>
            </w:r>
          </w:p>
        </w:tc>
        <w:tc>
          <w:tcPr>
            <w:tcW w:w="605"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77.5</w:t>
            </w:r>
          </w:p>
        </w:tc>
        <w:tc>
          <w:tcPr>
            <w:tcW w:w="733"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72.8</w:t>
            </w:r>
          </w:p>
        </w:tc>
        <w:tc>
          <w:tcPr>
            <w:tcW w:w="1319" w:type="dxa"/>
            <w:tcBorders>
              <w:top w:val="nil"/>
              <w:left w:val="nil"/>
              <w:bottom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r>
      <w:tr w:rsidR="0099113B" w:rsidRPr="00CD0F3A" w:rsidTr="0099113B">
        <w:trPr>
          <w:trHeight w:val="255"/>
        </w:trPr>
        <w:tc>
          <w:tcPr>
            <w:tcW w:w="1246" w:type="dxa"/>
            <w:tcBorders>
              <w:top w:val="nil"/>
              <w:left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Australia</w:t>
            </w:r>
          </w:p>
        </w:tc>
        <w:tc>
          <w:tcPr>
            <w:tcW w:w="1013" w:type="dxa"/>
            <w:tcBorders>
              <w:top w:val="nil"/>
              <w:left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-21.8</w:t>
            </w:r>
          </w:p>
        </w:tc>
        <w:tc>
          <w:tcPr>
            <w:tcW w:w="988" w:type="dxa"/>
            <w:tcBorders>
              <w:top w:val="nil"/>
              <w:left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08" w:type="dxa"/>
            <w:tcBorders>
              <w:top w:val="nil"/>
              <w:left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-17.7</w:t>
            </w:r>
          </w:p>
        </w:tc>
        <w:tc>
          <w:tcPr>
            <w:tcW w:w="988" w:type="dxa"/>
            <w:tcBorders>
              <w:top w:val="nil"/>
              <w:left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-27.2</w:t>
            </w:r>
          </w:p>
        </w:tc>
        <w:tc>
          <w:tcPr>
            <w:tcW w:w="1257" w:type="dxa"/>
            <w:tcBorders>
              <w:top w:val="nil"/>
              <w:left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2.4</w:t>
            </w:r>
          </w:p>
        </w:tc>
        <w:tc>
          <w:tcPr>
            <w:tcW w:w="1104" w:type="dxa"/>
            <w:tcBorders>
              <w:top w:val="nil"/>
              <w:left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23.6</w:t>
            </w:r>
          </w:p>
        </w:tc>
        <w:tc>
          <w:tcPr>
            <w:tcW w:w="605" w:type="dxa"/>
            <w:tcBorders>
              <w:top w:val="nil"/>
              <w:left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11.9</w:t>
            </w:r>
          </w:p>
        </w:tc>
        <w:tc>
          <w:tcPr>
            <w:tcW w:w="733" w:type="dxa"/>
            <w:tcBorders>
              <w:top w:val="nil"/>
              <w:left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319" w:type="dxa"/>
            <w:tcBorders>
              <w:top w:val="nil"/>
              <w:left w:val="nil"/>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25.7</w:t>
            </w:r>
          </w:p>
        </w:tc>
      </w:tr>
      <w:tr w:rsidR="0099113B" w:rsidRPr="00CD0F3A" w:rsidTr="0099113B">
        <w:trPr>
          <w:trHeight w:val="255"/>
        </w:trPr>
        <w:tc>
          <w:tcPr>
            <w:tcW w:w="1246"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r w:rsidRPr="0039455E">
              <w:rPr>
                <w:rFonts w:eastAsia="Times New Roman" w:cs="Times New Roman"/>
                <w:szCs w:val="24"/>
              </w:rPr>
              <w:t>NZ</w:t>
            </w:r>
          </w:p>
        </w:tc>
        <w:tc>
          <w:tcPr>
            <w:tcW w:w="1013"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-66.7</w:t>
            </w:r>
          </w:p>
        </w:tc>
        <w:tc>
          <w:tcPr>
            <w:tcW w:w="988"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08"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-27.7</w:t>
            </w:r>
          </w:p>
        </w:tc>
        <w:tc>
          <w:tcPr>
            <w:tcW w:w="988"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-19.0</w:t>
            </w:r>
          </w:p>
        </w:tc>
        <w:tc>
          <w:tcPr>
            <w:tcW w:w="1257"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898"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-43.9</w:t>
            </w:r>
          </w:p>
        </w:tc>
        <w:tc>
          <w:tcPr>
            <w:tcW w:w="1104"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5.6</w:t>
            </w:r>
          </w:p>
        </w:tc>
        <w:tc>
          <w:tcPr>
            <w:tcW w:w="605"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50.5</w:t>
            </w:r>
          </w:p>
        </w:tc>
        <w:tc>
          <w:tcPr>
            <w:tcW w:w="733"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rPr>
                <w:rFonts w:eastAsia="Times New Roman" w:cs="Times New Roman"/>
                <w:szCs w:val="24"/>
              </w:rPr>
            </w:pPr>
          </w:p>
        </w:tc>
        <w:tc>
          <w:tcPr>
            <w:tcW w:w="1098"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35.7</w:t>
            </w:r>
          </w:p>
        </w:tc>
        <w:tc>
          <w:tcPr>
            <w:tcW w:w="1319" w:type="dxa"/>
            <w:tcBorders>
              <w:top w:val="nil"/>
              <w:left w:val="nil"/>
              <w:bottom w:val="single" w:sz="4" w:space="0" w:color="auto"/>
              <w:right w:val="nil"/>
            </w:tcBorders>
            <w:shd w:val="clear" w:color="auto" w:fill="auto"/>
            <w:noWrap/>
            <w:vAlign w:val="bottom"/>
            <w:hideMark/>
          </w:tcPr>
          <w:p w:rsidR="0099113B" w:rsidRPr="0039455E" w:rsidRDefault="0099113B" w:rsidP="0099113B">
            <w:pPr>
              <w:spacing w:line="240" w:lineRule="auto"/>
              <w:jc w:val="right"/>
              <w:rPr>
                <w:rFonts w:eastAsia="Times New Roman" w:cs="Times New Roman"/>
                <w:szCs w:val="24"/>
              </w:rPr>
            </w:pPr>
            <w:r w:rsidRPr="0039455E">
              <w:rPr>
                <w:rFonts w:eastAsia="Times New Roman" w:cs="Times New Roman"/>
                <w:szCs w:val="24"/>
              </w:rPr>
              <w:t>58.3</w:t>
            </w:r>
          </w:p>
        </w:tc>
      </w:tr>
    </w:tbl>
    <w:p w:rsidR="0099113B" w:rsidRPr="00CD0F3A" w:rsidRDefault="0099113B" w:rsidP="0099113B">
      <w:pPr>
        <w:rPr>
          <w:rFonts w:cs="Times New Roman"/>
          <w:szCs w:val="24"/>
        </w:rPr>
      </w:pPr>
      <w:r w:rsidRPr="00CD0F3A">
        <w:rPr>
          <w:rFonts w:cs="Times New Roman"/>
          <w:szCs w:val="24"/>
        </w:rPr>
        <w:t>Note. Cell entries are the average left-right issue ownership estimates in the 2000s for each country on each issue.</w:t>
      </w:r>
    </w:p>
    <w:p w:rsidR="0099113B" w:rsidRDefault="0099113B" w:rsidP="0099113B">
      <w:pPr>
        <w:spacing w:after="200" w:line="276" w:lineRule="auto"/>
        <w:rPr>
          <w:rFonts w:cs="Times New Roman"/>
          <w:b/>
          <w:szCs w:val="24"/>
        </w:rPr>
      </w:pPr>
      <w:r>
        <w:rPr>
          <w:rFonts w:cs="Times New Roman"/>
          <w:b/>
          <w:szCs w:val="24"/>
        </w:rPr>
        <w:br w:type="page"/>
      </w:r>
    </w:p>
    <w:p w:rsidR="0099113B" w:rsidRPr="00EB680E" w:rsidRDefault="0099113B" w:rsidP="0099113B">
      <w:pPr>
        <w:spacing w:line="240" w:lineRule="auto"/>
        <w:jc w:val="both"/>
        <w:rPr>
          <w:rFonts w:cs="Times New Roman"/>
          <w:szCs w:val="24"/>
        </w:rPr>
      </w:pPr>
      <w:r w:rsidRPr="00EB680E">
        <w:rPr>
          <w:rFonts w:cs="Times New Roman"/>
          <w:b/>
          <w:szCs w:val="24"/>
        </w:rPr>
        <w:t>Table A</w:t>
      </w:r>
      <w:r>
        <w:rPr>
          <w:rFonts w:cs="Times New Roman"/>
          <w:b/>
          <w:szCs w:val="24"/>
        </w:rPr>
        <w:t>6</w:t>
      </w:r>
      <w:r w:rsidRPr="00EB680E">
        <w:rPr>
          <w:rFonts w:cs="Times New Roman"/>
          <w:b/>
          <w:szCs w:val="24"/>
        </w:rPr>
        <w:t>a</w:t>
      </w:r>
      <w:r w:rsidRPr="00EB680E">
        <w:rPr>
          <w:rFonts w:cs="Times New Roman"/>
          <w:szCs w:val="24"/>
        </w:rPr>
        <w:t>. Estimates of issue ownership across countries over time.</w:t>
      </w:r>
    </w:p>
    <w:tbl>
      <w:tblPr>
        <w:tblW w:w="15056" w:type="dxa"/>
        <w:tblInd w:w="-72" w:type="dxa"/>
        <w:tblLayout w:type="fixed"/>
        <w:tblLook w:val="0000" w:firstRow="0" w:lastRow="0" w:firstColumn="0" w:lastColumn="0" w:noHBand="0" w:noVBand="0"/>
      </w:tblPr>
      <w:tblGrid>
        <w:gridCol w:w="1523"/>
        <w:gridCol w:w="1088"/>
        <w:gridCol w:w="1088"/>
        <w:gridCol w:w="1229"/>
        <w:gridCol w:w="1088"/>
        <w:gridCol w:w="1088"/>
        <w:gridCol w:w="1088"/>
        <w:gridCol w:w="1039"/>
        <w:gridCol w:w="49"/>
        <w:gridCol w:w="1088"/>
        <w:gridCol w:w="1256"/>
        <w:gridCol w:w="1256"/>
        <w:gridCol w:w="980"/>
        <w:gridCol w:w="1196"/>
      </w:tblGrid>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3405" w:type="dxa"/>
            <w:gridSpan w:val="3"/>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Asylum/</w:t>
            </w:r>
            <w:r>
              <w:rPr>
                <w:rFonts w:cs="Times New Roman"/>
                <w:szCs w:val="24"/>
              </w:rPr>
              <w:t>immigration</w:t>
            </w:r>
          </w:p>
        </w:tc>
        <w:tc>
          <w:tcPr>
            <w:tcW w:w="3264"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Law/order</w:t>
            </w:r>
          </w:p>
        </w:tc>
        <w:tc>
          <w:tcPr>
            <w:tcW w:w="1088" w:type="dxa"/>
            <w:gridSpan w:val="2"/>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EU</w:t>
            </w:r>
          </w:p>
        </w:tc>
        <w:tc>
          <w:tcPr>
            <w:tcW w:w="1256"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56"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980"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Tax</w:t>
            </w:r>
          </w:p>
        </w:tc>
        <w:tc>
          <w:tcPr>
            <w:tcW w:w="1196"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r>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229"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gridSpan w:val="2"/>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256"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56"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980"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196"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r>
      <w:tr w:rsidR="0099113B" w:rsidRPr="00EB680E" w:rsidTr="0099113B">
        <w:trPr>
          <w:trHeight w:val="684"/>
        </w:trPr>
        <w:tc>
          <w:tcPr>
            <w:tcW w:w="1523"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Year</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0.34</w:t>
            </w:r>
            <w:r w:rsidRPr="00EB680E">
              <w:rPr>
                <w:rFonts w:cs="Times New Roman"/>
                <w:szCs w:val="24"/>
              </w:rPr>
              <w:br/>
              <w:t>(0.73)</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0.45</w:t>
            </w:r>
            <w:r w:rsidRPr="00EB680E">
              <w:rPr>
                <w:rFonts w:cs="Times New Roman"/>
                <w:szCs w:val="24"/>
              </w:rPr>
              <w:br/>
              <w:t>(0.64)</w:t>
            </w:r>
          </w:p>
        </w:tc>
        <w:tc>
          <w:tcPr>
            <w:tcW w:w="1229" w:type="dxa"/>
            <w:tcBorders>
              <w:top w:val="single" w:sz="4" w:space="0" w:color="auto"/>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0.03</w:t>
            </w:r>
            <w:r w:rsidRPr="00EB680E">
              <w:rPr>
                <w:rFonts w:cs="Times New Roman"/>
                <w:szCs w:val="24"/>
              </w:rPr>
              <w:br/>
              <w:t>(0.63)</w:t>
            </w:r>
          </w:p>
        </w:tc>
        <w:tc>
          <w:tcPr>
            <w:tcW w:w="1088" w:type="dxa"/>
            <w:tcBorders>
              <w:top w:val="single" w:sz="4" w:space="0" w:color="auto"/>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-3.59</w:t>
            </w:r>
            <w:r w:rsidRPr="00EB680E">
              <w:rPr>
                <w:rFonts w:cs="Times New Roman"/>
                <w:szCs w:val="24"/>
                <w:vertAlign w:val="superscript"/>
              </w:rPr>
              <w:t>**</w:t>
            </w:r>
            <w:r w:rsidRPr="00EB680E">
              <w:rPr>
                <w:rFonts w:cs="Times New Roman"/>
                <w:szCs w:val="24"/>
              </w:rPr>
              <w:br/>
              <w:t>(1.60)</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-4.47</w:t>
            </w:r>
            <w:r w:rsidRPr="00EB680E">
              <w:rPr>
                <w:rFonts w:cs="Times New Roman"/>
                <w:szCs w:val="24"/>
                <w:vertAlign w:val="superscript"/>
              </w:rPr>
              <w:t>***</w:t>
            </w:r>
            <w:r w:rsidRPr="00EB680E">
              <w:rPr>
                <w:rFonts w:cs="Times New Roman"/>
                <w:szCs w:val="24"/>
              </w:rPr>
              <w:br/>
              <w:t>(1.58)</w:t>
            </w:r>
          </w:p>
        </w:tc>
        <w:tc>
          <w:tcPr>
            <w:tcW w:w="1088" w:type="dxa"/>
            <w:tcBorders>
              <w:top w:val="single" w:sz="4" w:space="0" w:color="auto"/>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-3.34</w:t>
            </w:r>
            <w:r w:rsidRPr="00EB680E">
              <w:rPr>
                <w:rFonts w:cs="Times New Roman"/>
                <w:szCs w:val="24"/>
              </w:rPr>
              <w:br/>
              <w:t>(2.27)</w:t>
            </w:r>
          </w:p>
        </w:tc>
        <w:tc>
          <w:tcPr>
            <w:tcW w:w="1039" w:type="dxa"/>
            <w:tcBorders>
              <w:top w:val="single" w:sz="4" w:space="0" w:color="auto"/>
              <w:left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1.36</w:t>
            </w:r>
            <w:r w:rsidRPr="00EB680E">
              <w:rPr>
                <w:rFonts w:cs="Times New Roman"/>
                <w:szCs w:val="24"/>
              </w:rPr>
              <w:br/>
              <w:t>(0.83)</w:t>
            </w:r>
          </w:p>
        </w:tc>
        <w:tc>
          <w:tcPr>
            <w:tcW w:w="1137" w:type="dxa"/>
            <w:gridSpan w:val="2"/>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0.45</w:t>
            </w:r>
            <w:r w:rsidRPr="00EB680E">
              <w:rPr>
                <w:rFonts w:cs="Times New Roman"/>
                <w:szCs w:val="24"/>
              </w:rPr>
              <w:br/>
              <w:t>(0.91)</w:t>
            </w:r>
          </w:p>
        </w:tc>
        <w:tc>
          <w:tcPr>
            <w:tcW w:w="1256" w:type="dxa"/>
            <w:tcBorders>
              <w:top w:val="single" w:sz="4" w:space="0" w:color="auto"/>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-0.85</w:t>
            </w:r>
            <w:r w:rsidRPr="00EB680E">
              <w:rPr>
                <w:rFonts w:cs="Times New Roman"/>
                <w:szCs w:val="24"/>
              </w:rPr>
              <w:br/>
              <w:t>(0.97)</w:t>
            </w:r>
          </w:p>
        </w:tc>
        <w:tc>
          <w:tcPr>
            <w:tcW w:w="1256" w:type="dxa"/>
            <w:tcBorders>
              <w:top w:val="single" w:sz="4" w:space="0" w:color="auto"/>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1.15</w:t>
            </w:r>
            <w:r w:rsidRPr="00EB680E">
              <w:rPr>
                <w:rFonts w:cs="Times New Roman"/>
                <w:szCs w:val="24"/>
                <w:vertAlign w:val="superscript"/>
              </w:rPr>
              <w:t>*</w:t>
            </w:r>
            <w:r w:rsidRPr="00EB680E">
              <w:rPr>
                <w:rFonts w:cs="Times New Roman"/>
                <w:szCs w:val="24"/>
              </w:rPr>
              <w:br/>
              <w:t>(0.60)</w:t>
            </w:r>
          </w:p>
        </w:tc>
        <w:tc>
          <w:tcPr>
            <w:tcW w:w="980"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0.71</w:t>
            </w:r>
            <w:r>
              <w:rPr>
                <w:rFonts w:cs="Times New Roman"/>
                <w:szCs w:val="24"/>
                <w:vertAlign w:val="superscript"/>
              </w:rPr>
              <w:t>b</w:t>
            </w:r>
            <w:r w:rsidRPr="00EB680E">
              <w:rPr>
                <w:rFonts w:cs="Times New Roman"/>
                <w:szCs w:val="24"/>
              </w:rPr>
              <w:br/>
              <w:t>(0.49)</w:t>
            </w:r>
          </w:p>
        </w:tc>
        <w:tc>
          <w:tcPr>
            <w:tcW w:w="1196"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0.37</w:t>
            </w:r>
            <w:r w:rsidRPr="00EB680E">
              <w:rPr>
                <w:rFonts w:cs="Times New Roman"/>
                <w:szCs w:val="24"/>
              </w:rPr>
              <w:br/>
              <w:t>(0.44)</w:t>
            </w:r>
          </w:p>
        </w:tc>
      </w:tr>
      <w:tr w:rsidR="0099113B" w:rsidRPr="00EB680E" w:rsidTr="0099113B">
        <w:trPr>
          <w:trHeight w:val="684"/>
        </w:trPr>
        <w:tc>
          <w:tcPr>
            <w:tcW w:w="1523" w:type="dxa"/>
            <w:tcBorders>
              <w:left w:val="nil"/>
              <w:right w:val="nil"/>
            </w:tcBorders>
          </w:tcPr>
          <w:p w:rsidR="0099113B" w:rsidRPr="00EB680E" w:rsidRDefault="0099113B" w:rsidP="0099113B">
            <w:pPr>
              <w:widowControl w:val="0"/>
              <w:autoSpaceDE w:val="0"/>
              <w:autoSpaceDN w:val="0"/>
              <w:adjustRightInd w:val="0"/>
              <w:spacing w:line="240" w:lineRule="auto"/>
              <w:rPr>
                <w:rFonts w:cs="Times New Roman"/>
                <w:szCs w:val="24"/>
                <w:lang w:val="da-DK"/>
              </w:rPr>
            </w:pPr>
            <w:r>
              <w:rPr>
                <w:rFonts w:cs="Times New Roman"/>
                <w:szCs w:val="24"/>
                <w:lang w:val="da-DK"/>
              </w:rPr>
              <w:t>Year</w:t>
            </w:r>
            <w:r w:rsidRPr="00557807">
              <w:rPr>
                <w:rFonts w:cs="Times New Roman"/>
                <w:szCs w:val="24"/>
                <w:vertAlign w:val="superscript"/>
                <w:lang w:val="da-DK"/>
              </w:rPr>
              <w:t>2</w:t>
            </w: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0.16</w:t>
            </w:r>
            <w:r w:rsidRPr="00EB680E">
              <w:rPr>
                <w:rFonts w:cs="Times New Roman"/>
                <w:szCs w:val="24"/>
                <w:vertAlign w:val="superscript"/>
              </w:rPr>
              <w:t>**</w:t>
            </w:r>
            <w:r w:rsidRPr="00EB680E">
              <w:rPr>
                <w:rFonts w:cs="Times New Roman"/>
                <w:szCs w:val="24"/>
              </w:rPr>
              <w:br/>
              <w:t>(0.07)</w:t>
            </w: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0.20</w:t>
            </w:r>
            <w:r w:rsidRPr="00EB680E">
              <w:rPr>
                <w:rFonts w:cs="Times New Roman"/>
                <w:szCs w:val="24"/>
                <w:vertAlign w:val="superscript"/>
              </w:rPr>
              <w:t>***</w:t>
            </w:r>
            <w:r w:rsidRPr="00EB680E">
              <w:rPr>
                <w:rFonts w:cs="Times New Roman"/>
                <w:szCs w:val="24"/>
              </w:rPr>
              <w:br/>
              <w:t>(0.07)</w:t>
            </w:r>
          </w:p>
        </w:tc>
        <w:tc>
          <w:tcPr>
            <w:tcW w:w="1088" w:type="dxa"/>
            <w:tcBorders>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0.12</w:t>
            </w:r>
            <w:r w:rsidRPr="00EB680E">
              <w:rPr>
                <w:rFonts w:cs="Times New Roman"/>
                <w:szCs w:val="24"/>
              </w:rPr>
              <w:br/>
              <w:t>(0.10)</w:t>
            </w:r>
          </w:p>
        </w:tc>
        <w:tc>
          <w:tcPr>
            <w:tcW w:w="1039" w:type="dxa"/>
            <w:tcBorders>
              <w:left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137" w:type="dxa"/>
            <w:gridSpan w:val="2"/>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56" w:type="dxa"/>
            <w:tcBorders>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56" w:type="dxa"/>
            <w:tcBorders>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980"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196"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r>
      <w:tr w:rsidR="0099113B" w:rsidRPr="00EB680E" w:rsidTr="0099113B">
        <w:trPr>
          <w:trHeight w:val="684"/>
        </w:trPr>
        <w:tc>
          <w:tcPr>
            <w:tcW w:w="1523"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Constant</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21.32</w:t>
            </w:r>
            <w:r w:rsidRPr="00EB680E">
              <w:rPr>
                <w:rFonts w:cs="Times New Roman"/>
                <w:szCs w:val="24"/>
                <w:vertAlign w:val="superscript"/>
              </w:rPr>
              <w:t>**</w:t>
            </w:r>
            <w:r w:rsidRPr="00EB680E">
              <w:rPr>
                <w:rFonts w:cs="Times New Roman"/>
                <w:szCs w:val="24"/>
              </w:rPr>
              <w:br/>
              <w:t>(9.49)</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26.72</w:t>
            </w:r>
            <w:r w:rsidRPr="00EB680E">
              <w:rPr>
                <w:rFonts w:cs="Times New Roman"/>
                <w:szCs w:val="24"/>
                <w:vertAlign w:val="superscript"/>
              </w:rPr>
              <w:t>***</w:t>
            </w:r>
            <w:r w:rsidRPr="00EB680E">
              <w:rPr>
                <w:rFonts w:cs="Times New Roman"/>
                <w:szCs w:val="24"/>
              </w:rPr>
              <w:br/>
              <w:t>(8.93)</w:t>
            </w:r>
          </w:p>
        </w:tc>
        <w:tc>
          <w:tcPr>
            <w:tcW w:w="1229"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32.89</w:t>
            </w:r>
            <w:r w:rsidRPr="00EB680E">
              <w:rPr>
                <w:rFonts w:cs="Times New Roman"/>
                <w:szCs w:val="24"/>
                <w:vertAlign w:val="superscript"/>
              </w:rPr>
              <w:t>***</w:t>
            </w:r>
            <w:r w:rsidRPr="00EB680E">
              <w:rPr>
                <w:rFonts w:cs="Times New Roman"/>
                <w:szCs w:val="24"/>
              </w:rPr>
              <w:br/>
              <w:t>(9.08)</w:t>
            </w:r>
          </w:p>
        </w:tc>
        <w:tc>
          <w:tcPr>
            <w:tcW w:w="1088"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37.24</w:t>
            </w:r>
            <w:r w:rsidRPr="00EB680E">
              <w:rPr>
                <w:rFonts w:cs="Times New Roman"/>
                <w:szCs w:val="24"/>
                <w:vertAlign w:val="superscript"/>
              </w:rPr>
              <w:t>***</w:t>
            </w:r>
            <w:r w:rsidRPr="00EB680E">
              <w:rPr>
                <w:rFonts w:cs="Times New Roman"/>
                <w:szCs w:val="24"/>
              </w:rPr>
              <w:br/>
              <w:t>(7.68)</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40.36</w:t>
            </w:r>
            <w:r w:rsidRPr="00EB680E">
              <w:rPr>
                <w:rFonts w:cs="Times New Roman"/>
                <w:szCs w:val="24"/>
                <w:vertAlign w:val="superscript"/>
              </w:rPr>
              <w:t>***</w:t>
            </w:r>
            <w:r w:rsidRPr="00EB680E">
              <w:rPr>
                <w:rFonts w:cs="Times New Roman"/>
                <w:szCs w:val="24"/>
              </w:rPr>
              <w:br/>
              <w:t>(7.46)</w:t>
            </w:r>
          </w:p>
        </w:tc>
        <w:tc>
          <w:tcPr>
            <w:tcW w:w="1088"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45.98</w:t>
            </w:r>
            <w:r w:rsidRPr="00EB680E">
              <w:rPr>
                <w:rFonts w:cs="Times New Roman"/>
                <w:szCs w:val="24"/>
                <w:vertAlign w:val="superscript"/>
              </w:rPr>
              <w:t>***</w:t>
            </w:r>
            <w:r w:rsidRPr="00EB680E">
              <w:rPr>
                <w:rFonts w:cs="Times New Roman"/>
                <w:szCs w:val="24"/>
              </w:rPr>
              <w:br/>
              <w:t>(10.45)</w:t>
            </w:r>
          </w:p>
        </w:tc>
        <w:tc>
          <w:tcPr>
            <w:tcW w:w="1039" w:type="dxa"/>
            <w:tcBorders>
              <w:left w:val="single" w:sz="4" w:space="0" w:color="auto"/>
              <w:bottom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13.95</w:t>
            </w:r>
            <w:r>
              <w:rPr>
                <w:rFonts w:cs="Times New Roman"/>
                <w:szCs w:val="24"/>
                <w:vertAlign w:val="superscript"/>
              </w:rPr>
              <w:t>a</w:t>
            </w:r>
            <w:r w:rsidRPr="00EB680E">
              <w:rPr>
                <w:rFonts w:cs="Times New Roman"/>
                <w:szCs w:val="24"/>
              </w:rPr>
              <w:br/>
              <w:t>(10.04)</w:t>
            </w:r>
          </w:p>
        </w:tc>
        <w:tc>
          <w:tcPr>
            <w:tcW w:w="1137" w:type="dxa"/>
            <w:gridSpan w:val="2"/>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20.45</w:t>
            </w:r>
            <w:r w:rsidRPr="00EB680E">
              <w:rPr>
                <w:rFonts w:cs="Times New Roman"/>
                <w:szCs w:val="24"/>
                <w:vertAlign w:val="superscript"/>
              </w:rPr>
              <w:t>*</w:t>
            </w:r>
            <w:r w:rsidRPr="00EB680E">
              <w:rPr>
                <w:rFonts w:cs="Times New Roman"/>
                <w:szCs w:val="24"/>
              </w:rPr>
              <w:br/>
              <w:t>(10.14)</w:t>
            </w:r>
          </w:p>
        </w:tc>
        <w:tc>
          <w:tcPr>
            <w:tcW w:w="1256"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30.96</w:t>
            </w:r>
            <w:r w:rsidRPr="00EB680E">
              <w:rPr>
                <w:rFonts w:cs="Times New Roman"/>
                <w:szCs w:val="24"/>
                <w:vertAlign w:val="superscript"/>
              </w:rPr>
              <w:t>**</w:t>
            </w:r>
            <w:r w:rsidRPr="00EB680E">
              <w:rPr>
                <w:rFonts w:cs="Times New Roman"/>
                <w:szCs w:val="24"/>
              </w:rPr>
              <w:br/>
              <w:t>(11.31)</w:t>
            </w:r>
          </w:p>
        </w:tc>
        <w:tc>
          <w:tcPr>
            <w:tcW w:w="1256"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-4.90</w:t>
            </w:r>
            <w:r w:rsidRPr="00EB680E">
              <w:rPr>
                <w:rFonts w:cs="Times New Roman"/>
                <w:szCs w:val="24"/>
              </w:rPr>
              <w:br/>
              <w:t>(7.62)</w:t>
            </w:r>
          </w:p>
        </w:tc>
        <w:tc>
          <w:tcPr>
            <w:tcW w:w="980"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1.51</w:t>
            </w:r>
            <w:r w:rsidRPr="00EB680E">
              <w:rPr>
                <w:rFonts w:cs="Times New Roman"/>
                <w:szCs w:val="24"/>
              </w:rPr>
              <w:br/>
              <w:t>(6.24)</w:t>
            </w:r>
          </w:p>
        </w:tc>
        <w:tc>
          <w:tcPr>
            <w:tcW w:w="1196"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5.93</w:t>
            </w:r>
            <w:r w:rsidRPr="00EB680E">
              <w:rPr>
                <w:rFonts w:cs="Times New Roman"/>
                <w:szCs w:val="24"/>
              </w:rPr>
              <w:br/>
              <w:t>(5.64)</w:t>
            </w:r>
          </w:p>
        </w:tc>
      </w:tr>
      <w:tr w:rsidR="0099113B" w:rsidRPr="00EB680E" w:rsidTr="0099113B">
        <w:trPr>
          <w:trHeight w:val="458"/>
        </w:trPr>
        <w:tc>
          <w:tcPr>
            <w:tcW w:w="1523"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Obs</w:t>
            </w:r>
            <w:r>
              <w:rPr>
                <w:rFonts w:cs="Times New Roman"/>
                <w:szCs w:val="24"/>
              </w:rPr>
              <w:t>ervations</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32</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40</w:t>
            </w:r>
          </w:p>
        </w:tc>
        <w:tc>
          <w:tcPr>
            <w:tcW w:w="1229"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37</w:t>
            </w:r>
          </w:p>
        </w:tc>
        <w:tc>
          <w:tcPr>
            <w:tcW w:w="1088"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41</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47</w:t>
            </w:r>
          </w:p>
        </w:tc>
        <w:tc>
          <w:tcPr>
            <w:tcW w:w="1088"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27</w:t>
            </w:r>
          </w:p>
        </w:tc>
        <w:tc>
          <w:tcPr>
            <w:tcW w:w="1088" w:type="dxa"/>
            <w:gridSpan w:val="2"/>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21</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25</w:t>
            </w:r>
          </w:p>
        </w:tc>
        <w:tc>
          <w:tcPr>
            <w:tcW w:w="1256"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13</w:t>
            </w:r>
          </w:p>
        </w:tc>
        <w:tc>
          <w:tcPr>
            <w:tcW w:w="1256"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42</w:t>
            </w:r>
          </w:p>
        </w:tc>
        <w:tc>
          <w:tcPr>
            <w:tcW w:w="980"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51</w:t>
            </w:r>
          </w:p>
        </w:tc>
        <w:tc>
          <w:tcPr>
            <w:tcW w:w="1196"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46</w:t>
            </w:r>
          </w:p>
        </w:tc>
      </w:tr>
      <w:tr w:rsidR="0099113B" w:rsidRPr="00EB680E" w:rsidTr="0099113B">
        <w:trPr>
          <w:trHeight w:val="365"/>
        </w:trPr>
        <w:tc>
          <w:tcPr>
            <w:tcW w:w="1523"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Country excluded</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UK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Germany</w:t>
            </w:r>
          </w:p>
        </w:tc>
        <w:tc>
          <w:tcPr>
            <w:tcW w:w="1088"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NZ</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UK</w:t>
            </w:r>
          </w:p>
        </w:tc>
        <w:tc>
          <w:tcPr>
            <w:tcW w:w="1088" w:type="dxa"/>
            <w:gridSpan w:val="2"/>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Sweden</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56"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UK</w:t>
            </w:r>
          </w:p>
        </w:tc>
        <w:tc>
          <w:tcPr>
            <w:tcW w:w="1256"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Australia</w:t>
            </w:r>
          </w:p>
        </w:tc>
        <w:tc>
          <w:tcPr>
            <w:tcW w:w="980"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196"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Denmark</w:t>
            </w:r>
          </w:p>
        </w:tc>
      </w:tr>
    </w:tbl>
    <w:p w:rsidR="0099113B" w:rsidRPr="00CD0C96" w:rsidRDefault="0099113B" w:rsidP="0099113B">
      <w:pPr>
        <w:widowControl w:val="0"/>
        <w:autoSpaceDE w:val="0"/>
        <w:autoSpaceDN w:val="0"/>
        <w:adjustRightInd w:val="0"/>
        <w:spacing w:line="240" w:lineRule="auto"/>
        <w:jc w:val="both"/>
        <w:rPr>
          <w:rFonts w:cs="Times New Roman"/>
          <w:szCs w:val="24"/>
        </w:rPr>
      </w:pPr>
      <w:r w:rsidRPr="00EB680E">
        <w:rPr>
          <w:rFonts w:cs="Times New Roman"/>
          <w:szCs w:val="24"/>
        </w:rPr>
        <w:t xml:space="preserve">Note: Standard errors in parentheses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0.10,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0.05,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0.01. Fixed effects regression with country-panels. Jackknife analysis with countries excluded one by one. The estimations with the weakest and strongest coefficient are reported alongside the full model for each issue.</w:t>
      </w:r>
      <w:r>
        <w:rPr>
          <w:rFonts w:cs="Times New Roman"/>
          <w:szCs w:val="24"/>
        </w:rPr>
        <w:t xml:space="preserve"> Observations are country-years.</w:t>
      </w:r>
      <w:r w:rsidRPr="00AF168A">
        <w:rPr>
          <w:rFonts w:cs="Times New Roman"/>
          <w:szCs w:val="24"/>
          <w:vertAlign w:val="superscript"/>
        </w:rPr>
        <w:t xml:space="preserve"> </w:t>
      </w:r>
      <w:r>
        <w:rPr>
          <w:rFonts w:cs="Times New Roman"/>
          <w:szCs w:val="24"/>
          <w:vertAlign w:val="superscript"/>
        </w:rPr>
        <w:t>a</w:t>
      </w:r>
      <w:r w:rsidRPr="00EB680E">
        <w:rPr>
          <w:rFonts w:cs="Times New Roman"/>
          <w:szCs w:val="24"/>
          <w:vertAlign w:val="superscript"/>
        </w:rPr>
        <w:t xml:space="preserve"> </w:t>
      </w:r>
      <w:r w:rsidRPr="00EB680E">
        <w:rPr>
          <w:rFonts w:cs="Times New Roman"/>
          <w:i/>
          <w:szCs w:val="24"/>
        </w:rPr>
        <w:t>p</w:t>
      </w:r>
      <w:r w:rsidRPr="00EB680E">
        <w:rPr>
          <w:rFonts w:cs="Times New Roman"/>
          <w:szCs w:val="24"/>
        </w:rPr>
        <w:t xml:space="preserve"> is 0.18.</w:t>
      </w:r>
      <w:r>
        <w:rPr>
          <w:rFonts w:cs="Times New Roman"/>
          <w:szCs w:val="24"/>
        </w:rPr>
        <w:t xml:space="preserve"> </w:t>
      </w:r>
      <w:r>
        <w:rPr>
          <w:rFonts w:cs="Times New Roman"/>
          <w:szCs w:val="24"/>
          <w:vertAlign w:val="superscript"/>
        </w:rPr>
        <w:t>b</w:t>
      </w:r>
      <w:r w:rsidRPr="00EB680E">
        <w:rPr>
          <w:rFonts w:cs="Times New Roman"/>
          <w:szCs w:val="24"/>
          <w:vertAlign w:val="superscript"/>
        </w:rPr>
        <w:t xml:space="preserve"> </w:t>
      </w:r>
      <w:r w:rsidRPr="00EB680E">
        <w:rPr>
          <w:rFonts w:cs="Times New Roman"/>
          <w:i/>
          <w:szCs w:val="24"/>
        </w:rPr>
        <w:t>p</w:t>
      </w:r>
      <w:r w:rsidRPr="00EB680E">
        <w:rPr>
          <w:rFonts w:cs="Times New Roman"/>
          <w:szCs w:val="24"/>
        </w:rPr>
        <w:t xml:space="preserve"> is 0.15.</w:t>
      </w:r>
      <w:r>
        <w:rPr>
          <w:rFonts w:cs="Times New Roman"/>
          <w:szCs w:val="24"/>
        </w:rPr>
        <w:t xml:space="preserve"> </w:t>
      </w:r>
    </w:p>
    <w:p w:rsidR="0099113B" w:rsidRPr="00EB680E" w:rsidRDefault="0099113B" w:rsidP="0099113B">
      <w:pPr>
        <w:jc w:val="both"/>
        <w:rPr>
          <w:rFonts w:cs="Times New Roman"/>
          <w:szCs w:val="24"/>
        </w:rPr>
      </w:pPr>
    </w:p>
    <w:p w:rsidR="0099113B" w:rsidRPr="00EB680E" w:rsidRDefault="0099113B" w:rsidP="0099113B">
      <w:pPr>
        <w:rPr>
          <w:rFonts w:cs="Times New Roman"/>
          <w:b/>
          <w:szCs w:val="24"/>
        </w:rPr>
      </w:pPr>
      <w:r w:rsidRPr="00EB680E">
        <w:rPr>
          <w:rFonts w:cs="Times New Roman"/>
          <w:b/>
          <w:szCs w:val="24"/>
        </w:rPr>
        <w:br w:type="page"/>
      </w:r>
    </w:p>
    <w:p w:rsidR="0099113B" w:rsidRPr="00EB680E" w:rsidRDefault="0099113B" w:rsidP="0099113B">
      <w:pPr>
        <w:spacing w:line="240" w:lineRule="auto"/>
        <w:jc w:val="both"/>
        <w:rPr>
          <w:rFonts w:cs="Times New Roman"/>
          <w:szCs w:val="24"/>
        </w:rPr>
      </w:pPr>
      <w:r>
        <w:rPr>
          <w:rFonts w:cs="Times New Roman"/>
          <w:b/>
          <w:szCs w:val="24"/>
        </w:rPr>
        <w:t>Table A6</w:t>
      </w:r>
      <w:r w:rsidRPr="00EB680E">
        <w:rPr>
          <w:rFonts w:cs="Times New Roman"/>
          <w:b/>
          <w:szCs w:val="24"/>
        </w:rPr>
        <w:t>b</w:t>
      </w:r>
      <w:r w:rsidRPr="00EB680E">
        <w:rPr>
          <w:rFonts w:cs="Times New Roman"/>
          <w:szCs w:val="24"/>
        </w:rPr>
        <w:t xml:space="preserve">. Estimates of issue ownership across countries over time. </w:t>
      </w:r>
    </w:p>
    <w:tbl>
      <w:tblPr>
        <w:tblW w:w="15030" w:type="dxa"/>
        <w:tblInd w:w="-72" w:type="dxa"/>
        <w:tblLayout w:type="fixed"/>
        <w:tblLook w:val="0000" w:firstRow="0" w:lastRow="0" w:firstColumn="0" w:lastColumn="0" w:noHBand="0" w:noVBand="0"/>
      </w:tblPr>
      <w:tblGrid>
        <w:gridCol w:w="1523"/>
        <w:gridCol w:w="1088"/>
        <w:gridCol w:w="1088"/>
        <w:gridCol w:w="1161"/>
        <w:gridCol w:w="1015"/>
        <w:gridCol w:w="1088"/>
        <w:gridCol w:w="1256"/>
        <w:gridCol w:w="1216"/>
        <w:gridCol w:w="1088"/>
        <w:gridCol w:w="1229"/>
        <w:gridCol w:w="1088"/>
        <w:gridCol w:w="1088"/>
        <w:gridCol w:w="1102"/>
      </w:tblGrid>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3337" w:type="dxa"/>
            <w:gridSpan w:val="3"/>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Economy</w:t>
            </w:r>
          </w:p>
        </w:tc>
        <w:tc>
          <w:tcPr>
            <w:tcW w:w="3359"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Education</w:t>
            </w:r>
          </w:p>
        </w:tc>
        <w:tc>
          <w:tcPr>
            <w:tcW w:w="3533"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Elderly care</w:t>
            </w:r>
          </w:p>
        </w:tc>
        <w:tc>
          <w:tcPr>
            <w:tcW w:w="3278" w:type="dxa"/>
            <w:gridSpan w:val="3"/>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Unemployment</w:t>
            </w:r>
          </w:p>
        </w:tc>
      </w:tr>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161"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15"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256"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16"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229"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102"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r>
      <w:tr w:rsidR="0099113B" w:rsidRPr="00EB680E" w:rsidTr="0099113B">
        <w:trPr>
          <w:trHeight w:val="684"/>
        </w:trPr>
        <w:tc>
          <w:tcPr>
            <w:tcW w:w="1523"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Year</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-3.97</w:t>
            </w:r>
            <w:r w:rsidRPr="00EB680E">
              <w:rPr>
                <w:rFonts w:cs="Times New Roman"/>
                <w:szCs w:val="24"/>
                <w:vertAlign w:val="superscript"/>
              </w:rPr>
              <w:t>**</w:t>
            </w:r>
            <w:r w:rsidRPr="00EB680E">
              <w:rPr>
                <w:rFonts w:cs="Times New Roman"/>
                <w:szCs w:val="24"/>
              </w:rPr>
              <w:br/>
              <w:t>(1.72)</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-5.31</w:t>
            </w:r>
            <w:r w:rsidRPr="00EB680E">
              <w:rPr>
                <w:rFonts w:cs="Times New Roman"/>
                <w:szCs w:val="24"/>
                <w:vertAlign w:val="superscript"/>
              </w:rPr>
              <w:t>***</w:t>
            </w:r>
            <w:r w:rsidRPr="00EB680E">
              <w:rPr>
                <w:rFonts w:cs="Times New Roman"/>
                <w:szCs w:val="24"/>
              </w:rPr>
              <w:br/>
              <w:t>(1.59)</w:t>
            </w:r>
          </w:p>
        </w:tc>
        <w:tc>
          <w:tcPr>
            <w:tcW w:w="1161" w:type="dxa"/>
            <w:tcBorders>
              <w:top w:val="single" w:sz="4" w:space="0" w:color="auto"/>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-6.18</w:t>
            </w:r>
            <w:r w:rsidRPr="00EB680E">
              <w:rPr>
                <w:rFonts w:cs="Times New Roman"/>
                <w:szCs w:val="24"/>
                <w:vertAlign w:val="superscript"/>
              </w:rPr>
              <w:t>***</w:t>
            </w:r>
            <w:r w:rsidRPr="00EB680E">
              <w:rPr>
                <w:rFonts w:cs="Times New Roman"/>
                <w:szCs w:val="24"/>
              </w:rPr>
              <w:br/>
              <w:t>(1.69)</w:t>
            </w:r>
          </w:p>
        </w:tc>
        <w:tc>
          <w:tcPr>
            <w:tcW w:w="1015" w:type="dxa"/>
            <w:tcBorders>
              <w:top w:val="single" w:sz="4" w:space="0" w:color="auto"/>
              <w:left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szCs w:val="24"/>
              </w:rPr>
            </w:pPr>
            <w:r w:rsidRPr="00EB680E">
              <w:rPr>
                <w:szCs w:val="24"/>
              </w:rPr>
              <w:t>-0.62</w:t>
            </w:r>
            <w:r w:rsidRPr="00EB680E">
              <w:rPr>
                <w:szCs w:val="24"/>
              </w:rPr>
              <w:br/>
              <w:t>(0.66)</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szCs w:val="24"/>
              </w:rPr>
            </w:pPr>
            <w:r w:rsidRPr="00EB680E">
              <w:rPr>
                <w:szCs w:val="24"/>
              </w:rPr>
              <w:t>0.26</w:t>
            </w:r>
            <w:r w:rsidRPr="00EB680E">
              <w:rPr>
                <w:szCs w:val="24"/>
              </w:rPr>
              <w:br/>
              <w:t>(0.45)</w:t>
            </w:r>
          </w:p>
        </w:tc>
        <w:tc>
          <w:tcPr>
            <w:tcW w:w="1256" w:type="dxa"/>
            <w:tcBorders>
              <w:top w:val="single" w:sz="4" w:space="0" w:color="auto"/>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szCs w:val="24"/>
              </w:rPr>
            </w:pPr>
            <w:r w:rsidRPr="00EB680E">
              <w:rPr>
                <w:szCs w:val="24"/>
              </w:rPr>
              <w:t>0.40</w:t>
            </w:r>
            <w:r w:rsidRPr="00EB680E">
              <w:rPr>
                <w:szCs w:val="24"/>
              </w:rPr>
              <w:br/>
              <w:t>(0.45)</w:t>
            </w:r>
          </w:p>
        </w:tc>
        <w:tc>
          <w:tcPr>
            <w:tcW w:w="1216" w:type="dxa"/>
            <w:tcBorders>
              <w:top w:val="single" w:sz="4" w:space="0" w:color="auto"/>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-0.43</w:t>
            </w:r>
            <w:r w:rsidRPr="00EB680E">
              <w:rPr>
                <w:rFonts w:cs="Times New Roman"/>
                <w:szCs w:val="24"/>
              </w:rPr>
              <w:br/>
              <w:t>(7.58)</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-3.34</w:t>
            </w:r>
            <w:r w:rsidRPr="00EB680E">
              <w:rPr>
                <w:rFonts w:cs="Times New Roman"/>
                <w:szCs w:val="24"/>
              </w:rPr>
              <w:br/>
              <w:t>(4.61)</w:t>
            </w:r>
          </w:p>
        </w:tc>
        <w:tc>
          <w:tcPr>
            <w:tcW w:w="1229" w:type="dxa"/>
            <w:tcBorders>
              <w:top w:val="single" w:sz="4" w:space="0" w:color="auto"/>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-9.30</w:t>
            </w:r>
            <w:r w:rsidRPr="00EB680E">
              <w:rPr>
                <w:rFonts w:cs="Times New Roman"/>
                <w:szCs w:val="24"/>
                <w:vertAlign w:val="superscript"/>
              </w:rPr>
              <w:t>*</w:t>
            </w:r>
            <w:r w:rsidRPr="00EB680E">
              <w:rPr>
                <w:rFonts w:cs="Times New Roman"/>
                <w:szCs w:val="24"/>
              </w:rPr>
              <w:br/>
              <w:t>(3.62)</w:t>
            </w:r>
          </w:p>
        </w:tc>
        <w:tc>
          <w:tcPr>
            <w:tcW w:w="1088" w:type="dxa"/>
            <w:tcBorders>
              <w:top w:val="single" w:sz="4" w:space="0" w:color="auto"/>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-1.47</w:t>
            </w:r>
            <w:r w:rsidRPr="00EB680E">
              <w:rPr>
                <w:rFonts w:cs="Times New Roman"/>
                <w:szCs w:val="24"/>
              </w:rPr>
              <w:br/>
              <w:t>(1.58)</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-3.42</w:t>
            </w:r>
            <w:r w:rsidRPr="00EB680E">
              <w:rPr>
                <w:rFonts w:cs="Times New Roman"/>
                <w:szCs w:val="24"/>
                <w:vertAlign w:val="superscript"/>
              </w:rPr>
              <w:t>***</w:t>
            </w:r>
            <w:r w:rsidRPr="00EB680E">
              <w:rPr>
                <w:rFonts w:cs="Times New Roman"/>
                <w:szCs w:val="24"/>
              </w:rPr>
              <w:br/>
              <w:t>(1.11)</w:t>
            </w:r>
          </w:p>
        </w:tc>
        <w:tc>
          <w:tcPr>
            <w:tcW w:w="1102"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-3.68</w:t>
            </w:r>
            <w:r w:rsidRPr="00EB680E">
              <w:rPr>
                <w:rFonts w:cs="Times New Roman"/>
                <w:szCs w:val="24"/>
                <w:vertAlign w:val="superscript"/>
              </w:rPr>
              <w:t>***</w:t>
            </w:r>
            <w:r w:rsidRPr="00EB680E">
              <w:rPr>
                <w:rFonts w:cs="Times New Roman"/>
                <w:szCs w:val="24"/>
              </w:rPr>
              <w:br/>
              <w:t>(1.17)</w:t>
            </w:r>
          </w:p>
        </w:tc>
      </w:tr>
      <w:tr w:rsidR="0099113B" w:rsidRPr="00EB680E" w:rsidTr="0099113B">
        <w:trPr>
          <w:trHeight w:val="684"/>
        </w:trPr>
        <w:tc>
          <w:tcPr>
            <w:tcW w:w="1523" w:type="dxa"/>
            <w:tcBorders>
              <w:left w:val="nil"/>
              <w:right w:val="nil"/>
            </w:tcBorders>
          </w:tcPr>
          <w:p w:rsidR="0099113B" w:rsidRPr="00EB680E" w:rsidRDefault="0099113B" w:rsidP="0099113B">
            <w:pPr>
              <w:widowControl w:val="0"/>
              <w:autoSpaceDE w:val="0"/>
              <w:autoSpaceDN w:val="0"/>
              <w:adjustRightInd w:val="0"/>
              <w:spacing w:line="240" w:lineRule="auto"/>
              <w:rPr>
                <w:rFonts w:cs="Times New Roman"/>
                <w:szCs w:val="24"/>
                <w:lang w:val="da-DK"/>
              </w:rPr>
            </w:pPr>
            <w:r>
              <w:rPr>
                <w:rFonts w:cs="Times New Roman"/>
                <w:szCs w:val="24"/>
                <w:lang w:val="da-DK"/>
              </w:rPr>
              <w:t>Year</w:t>
            </w:r>
            <w:r w:rsidRPr="00557807">
              <w:rPr>
                <w:rFonts w:cs="Times New Roman"/>
                <w:szCs w:val="24"/>
                <w:vertAlign w:val="superscript"/>
                <w:lang w:val="da-DK"/>
              </w:rPr>
              <w:t>2</w:t>
            </w: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0.19</w:t>
            </w:r>
            <w:r w:rsidRPr="00EB680E">
              <w:rPr>
                <w:rFonts w:cs="Times New Roman"/>
                <w:szCs w:val="24"/>
                <w:vertAlign w:val="superscript"/>
              </w:rPr>
              <w:t>**</w:t>
            </w:r>
            <w:r w:rsidRPr="00EB680E">
              <w:rPr>
                <w:rFonts w:cs="Times New Roman"/>
                <w:szCs w:val="24"/>
              </w:rPr>
              <w:br/>
              <w:t>(0.07)</w:t>
            </w: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0.25</w:t>
            </w:r>
            <w:r w:rsidRPr="00EB680E">
              <w:rPr>
                <w:rFonts w:cs="Times New Roman"/>
                <w:szCs w:val="24"/>
                <w:vertAlign w:val="superscript"/>
              </w:rPr>
              <w:t>***</w:t>
            </w:r>
            <w:r w:rsidRPr="00EB680E">
              <w:rPr>
                <w:rFonts w:cs="Times New Roman"/>
                <w:szCs w:val="24"/>
              </w:rPr>
              <w:br/>
              <w:t>(0.07)</w:t>
            </w:r>
          </w:p>
        </w:tc>
        <w:tc>
          <w:tcPr>
            <w:tcW w:w="1161" w:type="dxa"/>
            <w:tcBorders>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0.28</w:t>
            </w:r>
            <w:r w:rsidRPr="00EB680E">
              <w:rPr>
                <w:rFonts w:cs="Times New Roman"/>
                <w:szCs w:val="24"/>
                <w:vertAlign w:val="superscript"/>
              </w:rPr>
              <w:t>***</w:t>
            </w:r>
            <w:r w:rsidRPr="00EB680E">
              <w:rPr>
                <w:rFonts w:cs="Times New Roman"/>
                <w:szCs w:val="24"/>
              </w:rPr>
              <w:br/>
              <w:t>(0.07)</w:t>
            </w:r>
          </w:p>
        </w:tc>
        <w:tc>
          <w:tcPr>
            <w:tcW w:w="1015" w:type="dxa"/>
            <w:tcBorders>
              <w:left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szCs w:val="24"/>
              </w:rPr>
            </w:pP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szCs w:val="24"/>
              </w:rPr>
            </w:pPr>
          </w:p>
        </w:tc>
        <w:tc>
          <w:tcPr>
            <w:tcW w:w="1256" w:type="dxa"/>
            <w:tcBorders>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szCs w:val="24"/>
              </w:rPr>
            </w:pPr>
          </w:p>
        </w:tc>
        <w:tc>
          <w:tcPr>
            <w:tcW w:w="1216" w:type="dxa"/>
            <w:tcBorders>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-0.12</w:t>
            </w:r>
            <w:r w:rsidRPr="00EB680E">
              <w:rPr>
                <w:rFonts w:cs="Times New Roman"/>
                <w:szCs w:val="24"/>
              </w:rPr>
              <w:br/>
              <w:t>(0.56)</w:t>
            </w: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0.08</w:t>
            </w:r>
            <w:r w:rsidRPr="00EB680E">
              <w:rPr>
                <w:rFonts w:cs="Times New Roman"/>
                <w:szCs w:val="24"/>
              </w:rPr>
              <w:br/>
              <w:t>(0.35)</w:t>
            </w:r>
          </w:p>
        </w:tc>
        <w:tc>
          <w:tcPr>
            <w:tcW w:w="1229" w:type="dxa"/>
            <w:tcBorders>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0.49</w:t>
            </w:r>
            <w:r w:rsidRPr="00EB680E">
              <w:rPr>
                <w:rFonts w:cs="Times New Roman"/>
                <w:szCs w:val="24"/>
              </w:rPr>
              <w:br/>
              <w:t>(0.28)</w:t>
            </w:r>
          </w:p>
        </w:tc>
        <w:tc>
          <w:tcPr>
            <w:tcW w:w="1088" w:type="dxa"/>
            <w:tcBorders>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lang w:val="da-DK"/>
              </w:rPr>
              <w:t>0.05</w:t>
            </w:r>
            <w:r>
              <w:rPr>
                <w:rFonts w:cs="Times New Roman"/>
                <w:szCs w:val="24"/>
                <w:vertAlign w:val="superscript"/>
                <w:lang w:val="da-DK"/>
              </w:rPr>
              <w:t>b</w:t>
            </w:r>
            <w:r w:rsidRPr="00EB680E">
              <w:rPr>
                <w:rFonts w:cs="Times New Roman"/>
                <w:szCs w:val="24"/>
              </w:rPr>
              <w:br/>
              <w:t>(0.04)</w:t>
            </w: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0.09</w:t>
            </w:r>
            <w:r w:rsidRPr="00EB680E">
              <w:rPr>
                <w:rFonts w:cs="Times New Roman"/>
                <w:szCs w:val="24"/>
                <w:vertAlign w:val="superscript"/>
              </w:rPr>
              <w:t>***</w:t>
            </w:r>
            <w:r w:rsidRPr="00EB680E">
              <w:rPr>
                <w:rFonts w:cs="Times New Roman"/>
                <w:szCs w:val="24"/>
              </w:rPr>
              <w:br/>
              <w:t>(0.03)</w:t>
            </w:r>
          </w:p>
        </w:tc>
        <w:tc>
          <w:tcPr>
            <w:tcW w:w="1102"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0.10</w:t>
            </w:r>
            <w:r w:rsidRPr="00EB680E">
              <w:rPr>
                <w:rFonts w:cs="Times New Roman"/>
                <w:szCs w:val="24"/>
                <w:vertAlign w:val="superscript"/>
              </w:rPr>
              <w:t>***</w:t>
            </w:r>
            <w:r w:rsidRPr="00EB680E">
              <w:rPr>
                <w:rFonts w:cs="Times New Roman"/>
                <w:szCs w:val="24"/>
              </w:rPr>
              <w:br/>
              <w:t>(0.03)</w:t>
            </w:r>
          </w:p>
        </w:tc>
      </w:tr>
      <w:tr w:rsidR="0099113B" w:rsidRPr="00EB680E" w:rsidTr="0099113B">
        <w:trPr>
          <w:trHeight w:val="684"/>
        </w:trPr>
        <w:tc>
          <w:tcPr>
            <w:tcW w:w="1523"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Constant</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17.48</w:t>
            </w:r>
            <w:r w:rsidRPr="00EB680E">
              <w:rPr>
                <w:rFonts w:cs="Times New Roman"/>
                <w:szCs w:val="24"/>
                <w:vertAlign w:val="superscript"/>
              </w:rPr>
              <w:t>*</w:t>
            </w:r>
            <w:r w:rsidRPr="00EB680E">
              <w:rPr>
                <w:rFonts w:cs="Times New Roman"/>
                <w:szCs w:val="24"/>
              </w:rPr>
              <w:br/>
              <w:t>(8.78)</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22.74</w:t>
            </w:r>
            <w:r w:rsidRPr="00EB680E">
              <w:rPr>
                <w:rFonts w:cs="Times New Roman"/>
                <w:szCs w:val="24"/>
                <w:vertAlign w:val="superscript"/>
              </w:rPr>
              <w:t>***</w:t>
            </w:r>
            <w:r w:rsidRPr="00EB680E">
              <w:rPr>
                <w:rFonts w:cs="Times New Roman"/>
                <w:szCs w:val="24"/>
              </w:rPr>
              <w:br/>
              <w:t>(8.13)</w:t>
            </w:r>
          </w:p>
        </w:tc>
        <w:tc>
          <w:tcPr>
            <w:tcW w:w="1161"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25.78</w:t>
            </w:r>
            <w:r w:rsidRPr="00EB680E">
              <w:rPr>
                <w:rFonts w:cs="Times New Roman"/>
                <w:szCs w:val="24"/>
                <w:vertAlign w:val="superscript"/>
              </w:rPr>
              <w:t>***</w:t>
            </w:r>
            <w:r w:rsidRPr="00EB680E">
              <w:rPr>
                <w:rFonts w:cs="Times New Roman"/>
                <w:szCs w:val="24"/>
              </w:rPr>
              <w:br/>
              <w:t>(8.76)</w:t>
            </w:r>
          </w:p>
        </w:tc>
        <w:tc>
          <w:tcPr>
            <w:tcW w:w="1015" w:type="dxa"/>
            <w:tcBorders>
              <w:left w:val="single" w:sz="4" w:space="0" w:color="auto"/>
              <w:bottom w:val="single" w:sz="4" w:space="0" w:color="auto"/>
              <w:right w:val="nil"/>
            </w:tcBorders>
            <w:shd w:val="clear" w:color="auto" w:fill="auto"/>
          </w:tcPr>
          <w:p w:rsidR="0099113B" w:rsidRPr="00EB680E" w:rsidRDefault="0099113B" w:rsidP="0099113B">
            <w:pPr>
              <w:widowControl w:val="0"/>
              <w:autoSpaceDE w:val="0"/>
              <w:autoSpaceDN w:val="0"/>
              <w:adjustRightInd w:val="0"/>
              <w:spacing w:line="240" w:lineRule="auto"/>
              <w:jc w:val="center"/>
              <w:rPr>
                <w:szCs w:val="24"/>
              </w:rPr>
            </w:pPr>
            <w:r w:rsidRPr="00EB680E">
              <w:rPr>
                <w:szCs w:val="24"/>
              </w:rPr>
              <w:t>-10.62</w:t>
            </w:r>
            <w:r>
              <w:rPr>
                <w:szCs w:val="24"/>
                <w:vertAlign w:val="superscript"/>
              </w:rPr>
              <w:t>a</w:t>
            </w:r>
            <w:r w:rsidRPr="00EB680E">
              <w:rPr>
                <w:szCs w:val="24"/>
              </w:rPr>
              <w:br/>
              <w:t>(8.77)</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szCs w:val="24"/>
              </w:rPr>
            </w:pPr>
            <w:r w:rsidRPr="00EB680E">
              <w:rPr>
                <w:szCs w:val="24"/>
              </w:rPr>
              <w:t>-16.33</w:t>
            </w:r>
            <w:r w:rsidRPr="00EB680E">
              <w:rPr>
                <w:szCs w:val="24"/>
                <w:vertAlign w:val="superscript"/>
              </w:rPr>
              <w:t>***</w:t>
            </w:r>
            <w:r w:rsidRPr="00EB680E">
              <w:rPr>
                <w:szCs w:val="24"/>
              </w:rPr>
              <w:br/>
              <w:t>(5.80)</w:t>
            </w:r>
          </w:p>
        </w:tc>
        <w:tc>
          <w:tcPr>
            <w:tcW w:w="1256"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szCs w:val="24"/>
              </w:rPr>
            </w:pPr>
            <w:r w:rsidRPr="00EB680E">
              <w:rPr>
                <w:szCs w:val="24"/>
              </w:rPr>
              <w:t>-18.16</w:t>
            </w:r>
            <w:r w:rsidRPr="00EB680E">
              <w:rPr>
                <w:szCs w:val="24"/>
                <w:vertAlign w:val="superscript"/>
              </w:rPr>
              <w:t>***</w:t>
            </w:r>
            <w:r w:rsidRPr="00EB680E">
              <w:rPr>
                <w:szCs w:val="24"/>
              </w:rPr>
              <w:br/>
              <w:t>(5.67)</w:t>
            </w:r>
          </w:p>
        </w:tc>
        <w:tc>
          <w:tcPr>
            <w:tcW w:w="1216"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-9.06</w:t>
            </w:r>
            <w:r w:rsidRPr="00EB680E">
              <w:rPr>
                <w:rFonts w:cs="Times New Roman"/>
                <w:szCs w:val="24"/>
              </w:rPr>
              <w:br/>
              <w:t>(21.54)</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2.38</w:t>
            </w:r>
            <w:r w:rsidRPr="00EB680E">
              <w:rPr>
                <w:rFonts w:cs="Times New Roman"/>
                <w:szCs w:val="24"/>
              </w:rPr>
              <w:br/>
              <w:t>(12.54)</w:t>
            </w:r>
          </w:p>
        </w:tc>
        <w:tc>
          <w:tcPr>
            <w:tcW w:w="1229"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30.01</w:t>
            </w:r>
            <w:r w:rsidRPr="00EB680E">
              <w:rPr>
                <w:rFonts w:cs="Times New Roman"/>
                <w:szCs w:val="24"/>
                <w:vertAlign w:val="superscript"/>
              </w:rPr>
              <w:t>*</w:t>
            </w:r>
            <w:r w:rsidRPr="00EB680E">
              <w:rPr>
                <w:rFonts w:cs="Times New Roman"/>
                <w:szCs w:val="24"/>
              </w:rPr>
              <w:br/>
              <w:t>(9.62)</w:t>
            </w:r>
          </w:p>
        </w:tc>
        <w:tc>
          <w:tcPr>
            <w:tcW w:w="1088"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-3.62</w:t>
            </w:r>
            <w:r w:rsidRPr="00EB680E">
              <w:rPr>
                <w:rFonts w:cs="Times New Roman"/>
                <w:szCs w:val="24"/>
              </w:rPr>
              <w:br/>
              <w:t>(12.89)</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10.86</w:t>
            </w:r>
            <w:r w:rsidRPr="00EB680E">
              <w:rPr>
                <w:rFonts w:cs="Times New Roman"/>
                <w:szCs w:val="24"/>
              </w:rPr>
              <w:br/>
              <w:t>(8.87)</w:t>
            </w:r>
          </w:p>
        </w:tc>
        <w:tc>
          <w:tcPr>
            <w:tcW w:w="1102"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16.25</w:t>
            </w:r>
            <w:r w:rsidRPr="00EB680E">
              <w:rPr>
                <w:rFonts w:cs="Times New Roman"/>
                <w:szCs w:val="24"/>
                <w:vertAlign w:val="superscript"/>
              </w:rPr>
              <w:t>*</w:t>
            </w:r>
            <w:r w:rsidRPr="00EB680E">
              <w:rPr>
                <w:rFonts w:cs="Times New Roman"/>
                <w:szCs w:val="24"/>
              </w:rPr>
              <w:br/>
              <w:t>(9.41)</w:t>
            </w:r>
          </w:p>
        </w:tc>
      </w:tr>
      <w:tr w:rsidR="0099113B" w:rsidRPr="00EB680E" w:rsidTr="0099113B">
        <w:trPr>
          <w:trHeight w:val="368"/>
        </w:trPr>
        <w:tc>
          <w:tcPr>
            <w:tcW w:w="1523"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Obs</w:t>
            </w:r>
            <w:r>
              <w:rPr>
                <w:rFonts w:cs="Times New Roman"/>
                <w:szCs w:val="24"/>
              </w:rPr>
              <w:t>ervations</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47</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53</w:t>
            </w:r>
          </w:p>
        </w:tc>
        <w:tc>
          <w:tcPr>
            <w:tcW w:w="1161"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50</w:t>
            </w:r>
          </w:p>
        </w:tc>
        <w:tc>
          <w:tcPr>
            <w:tcW w:w="1015"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szCs w:val="24"/>
              </w:rPr>
            </w:pPr>
            <w:r w:rsidRPr="00EB680E">
              <w:rPr>
                <w:szCs w:val="24"/>
              </w:rPr>
              <w:t>30</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szCs w:val="24"/>
              </w:rPr>
            </w:pPr>
            <w:r w:rsidRPr="00EB680E">
              <w:rPr>
                <w:szCs w:val="24"/>
              </w:rPr>
              <w:t>52</w:t>
            </w:r>
          </w:p>
        </w:tc>
        <w:tc>
          <w:tcPr>
            <w:tcW w:w="1256"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szCs w:val="24"/>
              </w:rPr>
            </w:pPr>
            <w:r w:rsidRPr="00EB680E">
              <w:rPr>
                <w:szCs w:val="24"/>
              </w:rPr>
              <w:t>48</w:t>
            </w:r>
          </w:p>
        </w:tc>
        <w:tc>
          <w:tcPr>
            <w:tcW w:w="1216"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8</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12</w:t>
            </w:r>
          </w:p>
        </w:tc>
        <w:tc>
          <w:tcPr>
            <w:tcW w:w="1229"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7</w:t>
            </w:r>
          </w:p>
        </w:tc>
        <w:tc>
          <w:tcPr>
            <w:tcW w:w="1088"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64</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94</w:t>
            </w:r>
          </w:p>
        </w:tc>
        <w:tc>
          <w:tcPr>
            <w:tcW w:w="1102"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86</w:t>
            </w:r>
          </w:p>
        </w:tc>
      </w:tr>
      <w:tr w:rsidR="0099113B" w:rsidRPr="00EB680E" w:rsidTr="0099113B">
        <w:trPr>
          <w:trHeight w:val="365"/>
        </w:trPr>
        <w:tc>
          <w:tcPr>
            <w:tcW w:w="1523"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Country excluded</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Canada</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161"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Germany</w:t>
            </w:r>
          </w:p>
        </w:tc>
        <w:tc>
          <w:tcPr>
            <w:tcW w:w="1015"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UK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56"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Denmark</w:t>
            </w:r>
          </w:p>
        </w:tc>
        <w:tc>
          <w:tcPr>
            <w:tcW w:w="1216"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Sweden</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Denmark</w:t>
            </w:r>
          </w:p>
        </w:tc>
        <w:tc>
          <w:tcPr>
            <w:tcW w:w="1088"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UK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102"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Sweden</w:t>
            </w:r>
          </w:p>
        </w:tc>
      </w:tr>
    </w:tbl>
    <w:p w:rsidR="0099113B" w:rsidRDefault="0099113B" w:rsidP="0099113B">
      <w:pPr>
        <w:widowControl w:val="0"/>
        <w:autoSpaceDE w:val="0"/>
        <w:autoSpaceDN w:val="0"/>
        <w:adjustRightInd w:val="0"/>
        <w:spacing w:line="240" w:lineRule="auto"/>
        <w:jc w:val="both"/>
        <w:rPr>
          <w:rFonts w:cs="Times New Roman"/>
          <w:szCs w:val="24"/>
        </w:rPr>
      </w:pPr>
      <w:r w:rsidRPr="00EB680E">
        <w:rPr>
          <w:rFonts w:cs="Times New Roman"/>
          <w:szCs w:val="24"/>
        </w:rPr>
        <w:t xml:space="preserve">Note: Standard errors in parentheses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0.10,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0.05,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0.01. Fixed effects regression with country-panels. Jackknife analysis with countries excluded one by one. The estimations with the weakest and strongest coefficient are reported alongside the full model for each issue. </w:t>
      </w:r>
      <w:r w:rsidRPr="00EB680E">
        <w:rPr>
          <w:rFonts w:cs="Times New Roman"/>
          <w:szCs w:val="24"/>
          <w:vertAlign w:val="superscript"/>
        </w:rPr>
        <w:t xml:space="preserve">a </w:t>
      </w:r>
      <w:r w:rsidRPr="00EB680E">
        <w:rPr>
          <w:rFonts w:cs="Times New Roman"/>
          <w:i/>
          <w:szCs w:val="24"/>
        </w:rPr>
        <w:t>p</w:t>
      </w:r>
      <w:r w:rsidRPr="00EB680E">
        <w:rPr>
          <w:rFonts w:cs="Times New Roman"/>
          <w:szCs w:val="24"/>
        </w:rPr>
        <w:t xml:space="preserve"> is 0.</w:t>
      </w:r>
      <w:r>
        <w:rPr>
          <w:rFonts w:cs="Times New Roman"/>
          <w:szCs w:val="24"/>
        </w:rPr>
        <w:t>24</w:t>
      </w:r>
      <w:r w:rsidRPr="00EB680E">
        <w:rPr>
          <w:rFonts w:cs="Times New Roman"/>
          <w:szCs w:val="24"/>
        </w:rPr>
        <w:t>.</w:t>
      </w:r>
      <w:r w:rsidRPr="00AF168A">
        <w:rPr>
          <w:rFonts w:cs="Times New Roman"/>
          <w:szCs w:val="24"/>
          <w:vertAlign w:val="superscript"/>
        </w:rPr>
        <w:t xml:space="preserve"> </w:t>
      </w:r>
      <w:r>
        <w:rPr>
          <w:rFonts w:cs="Times New Roman"/>
          <w:szCs w:val="24"/>
          <w:vertAlign w:val="superscript"/>
        </w:rPr>
        <w:t>b</w:t>
      </w:r>
      <w:r w:rsidRPr="00EB680E">
        <w:rPr>
          <w:rFonts w:cs="Times New Roman"/>
          <w:szCs w:val="24"/>
          <w:vertAlign w:val="superscript"/>
        </w:rPr>
        <w:t xml:space="preserve"> </w:t>
      </w:r>
      <w:r w:rsidRPr="00EB680E">
        <w:rPr>
          <w:rFonts w:cs="Times New Roman"/>
          <w:i/>
          <w:szCs w:val="24"/>
        </w:rPr>
        <w:t>p</w:t>
      </w:r>
      <w:r w:rsidRPr="00EB680E">
        <w:rPr>
          <w:rFonts w:cs="Times New Roman"/>
          <w:szCs w:val="24"/>
        </w:rPr>
        <w:t xml:space="preserve"> is 0.</w:t>
      </w:r>
      <w:r>
        <w:rPr>
          <w:rFonts w:cs="Times New Roman"/>
          <w:szCs w:val="24"/>
        </w:rPr>
        <w:t>18.</w:t>
      </w:r>
      <w:r w:rsidRPr="00EB680E">
        <w:rPr>
          <w:rFonts w:cs="Times New Roman"/>
          <w:szCs w:val="24"/>
        </w:rPr>
        <w:t xml:space="preserve"> </w:t>
      </w:r>
      <w:r>
        <w:rPr>
          <w:rFonts w:cs="Times New Roman"/>
          <w:szCs w:val="24"/>
        </w:rPr>
        <w:t>Observations are country-years.</w:t>
      </w:r>
    </w:p>
    <w:p w:rsidR="0099113B" w:rsidRDefault="0099113B" w:rsidP="0099113B">
      <w:pPr>
        <w:widowControl w:val="0"/>
        <w:autoSpaceDE w:val="0"/>
        <w:autoSpaceDN w:val="0"/>
        <w:adjustRightInd w:val="0"/>
        <w:spacing w:line="240" w:lineRule="auto"/>
        <w:jc w:val="both"/>
        <w:rPr>
          <w:rFonts w:cs="Times New Roman"/>
          <w:szCs w:val="24"/>
          <w:vertAlign w:val="superscript"/>
        </w:rPr>
      </w:pPr>
    </w:p>
    <w:p w:rsidR="0099113B" w:rsidRPr="00EB680E" w:rsidRDefault="0099113B" w:rsidP="0099113B">
      <w:pPr>
        <w:spacing w:line="240" w:lineRule="auto"/>
        <w:jc w:val="both"/>
        <w:rPr>
          <w:rFonts w:cs="Times New Roman"/>
          <w:b/>
          <w:szCs w:val="24"/>
        </w:rPr>
      </w:pPr>
    </w:p>
    <w:p w:rsidR="0099113B" w:rsidRPr="00EB680E" w:rsidRDefault="0099113B" w:rsidP="0099113B">
      <w:pPr>
        <w:spacing w:line="240" w:lineRule="auto"/>
        <w:jc w:val="both"/>
        <w:rPr>
          <w:rFonts w:cs="Times New Roman"/>
          <w:b/>
          <w:szCs w:val="24"/>
        </w:rPr>
      </w:pPr>
    </w:p>
    <w:p w:rsidR="0099113B" w:rsidRPr="00EB680E" w:rsidRDefault="0099113B" w:rsidP="0099113B">
      <w:pPr>
        <w:rPr>
          <w:rFonts w:cs="Times New Roman"/>
          <w:b/>
          <w:szCs w:val="24"/>
        </w:rPr>
      </w:pPr>
      <w:r w:rsidRPr="00EB680E">
        <w:rPr>
          <w:rFonts w:cs="Times New Roman"/>
          <w:b/>
          <w:szCs w:val="24"/>
        </w:rPr>
        <w:br w:type="page"/>
      </w:r>
    </w:p>
    <w:p w:rsidR="0099113B" w:rsidRPr="00EB680E" w:rsidRDefault="0099113B" w:rsidP="0099113B">
      <w:pPr>
        <w:spacing w:line="240" w:lineRule="auto"/>
        <w:jc w:val="both"/>
        <w:rPr>
          <w:rFonts w:cs="Times New Roman"/>
          <w:szCs w:val="24"/>
        </w:rPr>
      </w:pPr>
      <w:r>
        <w:rPr>
          <w:rFonts w:cs="Times New Roman"/>
          <w:b/>
          <w:szCs w:val="24"/>
        </w:rPr>
        <w:t>Table A6</w:t>
      </w:r>
      <w:r w:rsidRPr="00EB680E">
        <w:rPr>
          <w:rFonts w:cs="Times New Roman"/>
          <w:b/>
          <w:szCs w:val="24"/>
        </w:rPr>
        <w:t>c</w:t>
      </w:r>
      <w:r w:rsidRPr="00EB680E">
        <w:rPr>
          <w:rFonts w:cs="Times New Roman"/>
          <w:szCs w:val="24"/>
        </w:rPr>
        <w:t>. Estimates of issue ownership across countries over time.</w:t>
      </w:r>
    </w:p>
    <w:tbl>
      <w:tblPr>
        <w:tblW w:w="15097" w:type="dxa"/>
        <w:tblInd w:w="-72" w:type="dxa"/>
        <w:tblLayout w:type="fixed"/>
        <w:tblLook w:val="0000" w:firstRow="0" w:lastRow="0" w:firstColumn="0" w:lastColumn="0" w:noHBand="0" w:noVBand="0"/>
      </w:tblPr>
      <w:tblGrid>
        <w:gridCol w:w="1523"/>
        <w:gridCol w:w="1229"/>
        <w:gridCol w:w="1088"/>
        <w:gridCol w:w="1088"/>
        <w:gridCol w:w="1088"/>
        <w:gridCol w:w="1088"/>
        <w:gridCol w:w="1086"/>
        <w:gridCol w:w="1231"/>
        <w:gridCol w:w="1088"/>
        <w:gridCol w:w="1191"/>
        <w:gridCol w:w="1221"/>
        <w:gridCol w:w="1088"/>
        <w:gridCol w:w="1088"/>
      </w:tblGrid>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Families</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Health</w:t>
            </w:r>
          </w:p>
        </w:tc>
        <w:tc>
          <w:tcPr>
            <w:tcW w:w="1086"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3510" w:type="dxa"/>
            <w:gridSpan w:val="3"/>
            <w:tcBorders>
              <w:top w:val="single" w:sz="4" w:space="0" w:color="auto"/>
              <w:left w:val="single" w:sz="4" w:space="0" w:color="auto"/>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Social security</w:t>
            </w:r>
          </w:p>
        </w:tc>
        <w:tc>
          <w:tcPr>
            <w:tcW w:w="3397" w:type="dxa"/>
            <w:gridSpan w:val="3"/>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Environment</w:t>
            </w:r>
          </w:p>
        </w:tc>
      </w:tr>
      <w:tr w:rsidR="0099113B" w:rsidRPr="00EB680E" w:rsidTr="0099113B">
        <w:trPr>
          <w:trHeight w:val="341"/>
        </w:trPr>
        <w:tc>
          <w:tcPr>
            <w:tcW w:w="1523" w:type="dxa"/>
            <w:tcBorders>
              <w:top w:val="single" w:sz="4" w:space="0" w:color="auto"/>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9"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088"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6"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31"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191" w:type="dxa"/>
            <w:tcBorders>
              <w:top w:val="single" w:sz="4" w:space="0" w:color="auto"/>
              <w:left w:val="nil"/>
              <w:bottom w:val="single" w:sz="4" w:space="0" w:color="auto"/>
              <w:right w:val="single" w:sz="4" w:space="0" w:color="auto"/>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c>
          <w:tcPr>
            <w:tcW w:w="1221" w:type="dxa"/>
            <w:tcBorders>
              <w:top w:val="single" w:sz="4" w:space="0" w:color="auto"/>
              <w:left w:val="single" w:sz="4" w:space="0" w:color="auto"/>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Min</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Full model</w:t>
            </w:r>
          </w:p>
        </w:tc>
        <w:tc>
          <w:tcPr>
            <w:tcW w:w="1088" w:type="dxa"/>
            <w:tcBorders>
              <w:top w:val="single" w:sz="4" w:space="0" w:color="auto"/>
              <w:left w:val="nil"/>
              <w:bottom w:val="single" w:sz="4" w:space="0" w:color="auto"/>
              <w:right w:val="nil"/>
            </w:tcBorders>
            <w:vAlign w:val="bottom"/>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Max</w:t>
            </w:r>
          </w:p>
        </w:tc>
      </w:tr>
      <w:tr w:rsidR="0099113B" w:rsidRPr="00EB680E" w:rsidTr="0099113B">
        <w:trPr>
          <w:trHeight w:val="684"/>
        </w:trPr>
        <w:tc>
          <w:tcPr>
            <w:tcW w:w="1523"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Year</w:t>
            </w:r>
          </w:p>
        </w:tc>
        <w:tc>
          <w:tcPr>
            <w:tcW w:w="1229"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-0.66</w:t>
            </w:r>
            <w:r w:rsidRPr="00EB680E">
              <w:rPr>
                <w:rFonts w:cs="Times New Roman"/>
                <w:szCs w:val="24"/>
              </w:rPr>
              <w:br/>
              <w:t>(1.14)</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2.66</w:t>
            </w:r>
            <w:r w:rsidRPr="00EB680E">
              <w:rPr>
                <w:rFonts w:cs="Times New Roman"/>
                <w:szCs w:val="24"/>
                <w:vertAlign w:val="superscript"/>
              </w:rPr>
              <w:t>**</w:t>
            </w:r>
            <w:r w:rsidRPr="00EB680E">
              <w:rPr>
                <w:rFonts w:cs="Times New Roman"/>
                <w:szCs w:val="24"/>
              </w:rPr>
              <w:br/>
              <w:t>(1.11)</w:t>
            </w:r>
          </w:p>
        </w:tc>
        <w:tc>
          <w:tcPr>
            <w:tcW w:w="1088" w:type="dxa"/>
            <w:tcBorders>
              <w:top w:val="single" w:sz="4" w:space="0" w:color="auto"/>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4.28</w:t>
            </w:r>
            <w:r w:rsidRPr="00EB680E">
              <w:rPr>
                <w:rFonts w:cs="Times New Roman"/>
                <w:szCs w:val="24"/>
                <w:vertAlign w:val="superscript"/>
              </w:rPr>
              <w:t>***</w:t>
            </w:r>
            <w:r w:rsidRPr="00EB680E">
              <w:rPr>
                <w:rFonts w:cs="Times New Roman"/>
                <w:szCs w:val="24"/>
              </w:rPr>
              <w:br/>
              <w:t>(1.35)</w:t>
            </w:r>
          </w:p>
        </w:tc>
        <w:tc>
          <w:tcPr>
            <w:tcW w:w="1088" w:type="dxa"/>
            <w:tcBorders>
              <w:top w:val="single" w:sz="4" w:space="0" w:color="auto"/>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-0.99</w:t>
            </w:r>
            <w:r w:rsidRPr="00EB680E">
              <w:rPr>
                <w:rFonts w:cs="Times New Roman"/>
                <w:szCs w:val="24"/>
                <w:vertAlign w:val="superscript"/>
              </w:rPr>
              <w:t>*</w:t>
            </w:r>
            <w:r w:rsidRPr="00EB680E">
              <w:rPr>
                <w:rFonts w:cs="Times New Roman"/>
                <w:szCs w:val="24"/>
              </w:rPr>
              <w:br/>
              <w:t>(0.58)</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0.42</w:t>
            </w:r>
            <w:r w:rsidRPr="00EB680E">
              <w:rPr>
                <w:rFonts w:cs="Times New Roman"/>
                <w:szCs w:val="24"/>
              </w:rPr>
              <w:br/>
              <w:t>(0.44)</w:t>
            </w:r>
          </w:p>
        </w:tc>
        <w:tc>
          <w:tcPr>
            <w:tcW w:w="1086" w:type="dxa"/>
            <w:tcBorders>
              <w:top w:val="single" w:sz="4" w:space="0" w:color="auto"/>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0.43</w:t>
            </w:r>
            <w:r w:rsidRPr="00EB680E">
              <w:rPr>
                <w:rFonts w:cs="Times New Roman"/>
                <w:szCs w:val="24"/>
              </w:rPr>
              <w:br/>
              <w:t>(0.45)</w:t>
            </w:r>
          </w:p>
        </w:tc>
        <w:tc>
          <w:tcPr>
            <w:tcW w:w="1231" w:type="dxa"/>
            <w:tcBorders>
              <w:top w:val="single" w:sz="4" w:space="0" w:color="auto"/>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-0.14</w:t>
            </w:r>
            <w:r w:rsidRPr="00EB680E">
              <w:rPr>
                <w:rFonts w:cs="Times New Roman"/>
                <w:szCs w:val="24"/>
              </w:rPr>
              <w:br/>
              <w:t>(1.43)</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0.37</w:t>
            </w:r>
            <w:r w:rsidRPr="00EB680E">
              <w:rPr>
                <w:rFonts w:cs="Times New Roman"/>
                <w:szCs w:val="24"/>
              </w:rPr>
              <w:br/>
              <w:t>(0.78)</w:t>
            </w:r>
          </w:p>
        </w:tc>
        <w:tc>
          <w:tcPr>
            <w:tcW w:w="1191" w:type="dxa"/>
            <w:tcBorders>
              <w:top w:val="single" w:sz="4" w:space="0" w:color="auto"/>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0.73</w:t>
            </w:r>
            <w:r w:rsidRPr="00EB680E">
              <w:rPr>
                <w:rFonts w:cs="Times New Roman"/>
                <w:szCs w:val="24"/>
              </w:rPr>
              <w:br/>
              <w:t>(0.49)</w:t>
            </w:r>
          </w:p>
        </w:tc>
        <w:tc>
          <w:tcPr>
            <w:tcW w:w="1221" w:type="dxa"/>
            <w:tcBorders>
              <w:top w:val="single" w:sz="4" w:space="0" w:color="auto"/>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-0.44</w:t>
            </w:r>
            <w:r w:rsidRPr="00EB680E">
              <w:rPr>
                <w:rFonts w:cs="Times New Roman"/>
                <w:szCs w:val="24"/>
              </w:rPr>
              <w:br/>
              <w:t>(0.53)</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-0.26</w:t>
            </w:r>
            <w:r w:rsidRPr="00EB680E">
              <w:rPr>
                <w:rFonts w:cs="Times New Roman"/>
                <w:szCs w:val="24"/>
              </w:rPr>
              <w:br/>
              <w:t>(0.45)</w:t>
            </w:r>
          </w:p>
        </w:tc>
        <w:tc>
          <w:tcPr>
            <w:tcW w:w="1088" w:type="dxa"/>
            <w:tcBorders>
              <w:top w:val="single" w:sz="4" w:space="0" w:color="auto"/>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-0.24</w:t>
            </w:r>
            <w:r w:rsidRPr="00EB680E">
              <w:rPr>
                <w:rFonts w:cs="Times New Roman"/>
                <w:szCs w:val="24"/>
              </w:rPr>
              <w:br/>
              <w:t>(0.46)</w:t>
            </w:r>
          </w:p>
        </w:tc>
      </w:tr>
      <w:tr w:rsidR="0099113B" w:rsidRPr="00EB680E" w:rsidTr="0099113B">
        <w:trPr>
          <w:trHeight w:val="684"/>
        </w:trPr>
        <w:tc>
          <w:tcPr>
            <w:tcW w:w="1523" w:type="dxa"/>
            <w:tcBorders>
              <w:left w:val="nil"/>
              <w:right w:val="nil"/>
            </w:tcBorders>
          </w:tcPr>
          <w:p w:rsidR="0099113B" w:rsidRPr="00EB680E" w:rsidRDefault="0099113B" w:rsidP="0099113B">
            <w:pPr>
              <w:widowControl w:val="0"/>
              <w:autoSpaceDE w:val="0"/>
              <w:autoSpaceDN w:val="0"/>
              <w:adjustRightInd w:val="0"/>
              <w:spacing w:line="240" w:lineRule="auto"/>
              <w:rPr>
                <w:rFonts w:cs="Times New Roman"/>
                <w:szCs w:val="24"/>
                <w:lang w:val="da-DK"/>
              </w:rPr>
            </w:pPr>
            <w:r>
              <w:rPr>
                <w:rFonts w:cs="Times New Roman"/>
                <w:szCs w:val="24"/>
                <w:lang w:val="da-DK"/>
              </w:rPr>
              <w:t>Year</w:t>
            </w:r>
            <w:r w:rsidRPr="00557807">
              <w:rPr>
                <w:rFonts w:cs="Times New Roman"/>
                <w:szCs w:val="24"/>
                <w:vertAlign w:val="superscript"/>
                <w:lang w:val="da-DK"/>
              </w:rPr>
              <w:t>2</w:t>
            </w:r>
          </w:p>
        </w:tc>
        <w:tc>
          <w:tcPr>
            <w:tcW w:w="1229"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6" w:type="dxa"/>
            <w:tcBorders>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31" w:type="dxa"/>
            <w:tcBorders>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191" w:type="dxa"/>
            <w:tcBorders>
              <w:left w:val="nil"/>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221" w:type="dxa"/>
            <w:tcBorders>
              <w:left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left w:val="nil"/>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r>
      <w:tr w:rsidR="0099113B" w:rsidRPr="00EB680E" w:rsidTr="0099113B">
        <w:trPr>
          <w:trHeight w:val="684"/>
        </w:trPr>
        <w:tc>
          <w:tcPr>
            <w:tcW w:w="1523"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Constant</w:t>
            </w:r>
          </w:p>
        </w:tc>
        <w:tc>
          <w:tcPr>
            <w:tcW w:w="1229"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-13.59</w:t>
            </w:r>
            <w:r>
              <w:rPr>
                <w:rFonts w:cs="Times New Roman"/>
                <w:szCs w:val="24"/>
                <w:vertAlign w:val="superscript"/>
              </w:rPr>
              <w:t>a</w:t>
            </w:r>
            <w:r w:rsidRPr="00EB680E">
              <w:rPr>
                <w:rFonts w:cs="Times New Roman"/>
                <w:szCs w:val="24"/>
              </w:rPr>
              <w:br/>
              <w:t>(11.50)</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-33.13</w:t>
            </w:r>
            <w:r w:rsidRPr="00EB680E">
              <w:rPr>
                <w:rFonts w:cs="Times New Roman"/>
                <w:szCs w:val="24"/>
                <w:vertAlign w:val="superscript"/>
              </w:rPr>
              <w:t>***</w:t>
            </w:r>
            <w:r w:rsidRPr="00EB680E">
              <w:rPr>
                <w:rFonts w:cs="Times New Roman"/>
                <w:szCs w:val="24"/>
              </w:rPr>
              <w:br/>
              <w:t>(10.03)</w:t>
            </w:r>
          </w:p>
        </w:tc>
        <w:tc>
          <w:tcPr>
            <w:tcW w:w="1088"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-46.86</w:t>
            </w:r>
            <w:r w:rsidRPr="00EB680E">
              <w:rPr>
                <w:rFonts w:cs="Times New Roman"/>
                <w:szCs w:val="24"/>
                <w:vertAlign w:val="superscript"/>
              </w:rPr>
              <w:t>***</w:t>
            </w:r>
            <w:r w:rsidRPr="00EB680E">
              <w:rPr>
                <w:rFonts w:cs="Times New Roman"/>
                <w:szCs w:val="24"/>
              </w:rPr>
              <w:br/>
              <w:t>(11.98)</w:t>
            </w:r>
          </w:p>
        </w:tc>
        <w:tc>
          <w:tcPr>
            <w:tcW w:w="1088"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-1.69</w:t>
            </w:r>
            <w:r w:rsidRPr="00EB680E">
              <w:rPr>
                <w:rFonts w:cs="Times New Roman"/>
                <w:szCs w:val="24"/>
              </w:rPr>
              <w:br/>
              <w:t>(8.11)</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-23.36</w:t>
            </w:r>
            <w:r w:rsidRPr="00EB680E">
              <w:rPr>
                <w:rFonts w:cs="Times New Roman"/>
                <w:szCs w:val="24"/>
                <w:vertAlign w:val="superscript"/>
              </w:rPr>
              <w:t>***</w:t>
            </w:r>
            <w:r w:rsidRPr="00EB680E">
              <w:rPr>
                <w:rFonts w:cs="Times New Roman"/>
                <w:szCs w:val="24"/>
              </w:rPr>
              <w:br/>
              <w:t>(5.91)</w:t>
            </w:r>
          </w:p>
        </w:tc>
        <w:tc>
          <w:tcPr>
            <w:tcW w:w="1086"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-26.63</w:t>
            </w:r>
            <w:r w:rsidRPr="00EB680E">
              <w:rPr>
                <w:rFonts w:cs="Times New Roman"/>
                <w:szCs w:val="24"/>
                <w:vertAlign w:val="superscript"/>
              </w:rPr>
              <w:t>***</w:t>
            </w:r>
            <w:r w:rsidRPr="00EB680E">
              <w:rPr>
                <w:rFonts w:cs="Times New Roman"/>
                <w:szCs w:val="24"/>
              </w:rPr>
              <w:br/>
              <w:t>(5.98)</w:t>
            </w:r>
          </w:p>
        </w:tc>
        <w:tc>
          <w:tcPr>
            <w:tcW w:w="1231"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-20.10</w:t>
            </w:r>
            <w:r>
              <w:rPr>
                <w:rFonts w:cs="Times New Roman"/>
                <w:szCs w:val="24"/>
                <w:vertAlign w:val="superscript"/>
              </w:rPr>
              <w:t>b</w:t>
            </w:r>
            <w:r w:rsidRPr="00EB680E">
              <w:rPr>
                <w:rFonts w:cs="Times New Roman"/>
                <w:szCs w:val="24"/>
              </w:rPr>
              <w:br/>
              <w:t>(12.95)</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-28.84</w:t>
            </w:r>
            <w:r w:rsidRPr="00EB680E">
              <w:rPr>
                <w:rFonts w:cs="Times New Roman"/>
                <w:szCs w:val="24"/>
                <w:vertAlign w:val="superscript"/>
              </w:rPr>
              <w:t>***</w:t>
            </w:r>
            <w:r w:rsidRPr="00EB680E">
              <w:rPr>
                <w:rFonts w:cs="Times New Roman"/>
                <w:szCs w:val="24"/>
              </w:rPr>
              <w:br/>
              <w:t>(8.58)</w:t>
            </w:r>
          </w:p>
        </w:tc>
        <w:tc>
          <w:tcPr>
            <w:tcW w:w="1191"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-39.99</w:t>
            </w:r>
            <w:r w:rsidRPr="00EB680E">
              <w:rPr>
                <w:rFonts w:cs="Times New Roman"/>
                <w:szCs w:val="24"/>
                <w:vertAlign w:val="superscript"/>
              </w:rPr>
              <w:t>***</w:t>
            </w:r>
            <w:r w:rsidRPr="00EB680E">
              <w:rPr>
                <w:rFonts w:cs="Times New Roman"/>
                <w:szCs w:val="24"/>
              </w:rPr>
              <w:br/>
              <w:t>(5.34)</w:t>
            </w:r>
          </w:p>
        </w:tc>
        <w:tc>
          <w:tcPr>
            <w:tcW w:w="1221"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-27.50</w:t>
            </w:r>
            <w:r w:rsidRPr="00EB680E">
              <w:rPr>
                <w:rFonts w:cs="Times New Roman"/>
                <w:szCs w:val="24"/>
                <w:vertAlign w:val="superscript"/>
              </w:rPr>
              <w:t>***</w:t>
            </w:r>
            <w:r w:rsidRPr="00EB680E">
              <w:rPr>
                <w:rFonts w:cs="Times New Roman"/>
                <w:szCs w:val="24"/>
              </w:rPr>
              <w:br/>
              <w:t>(5.63)</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-33.66</w:t>
            </w:r>
            <w:r w:rsidRPr="00EB680E">
              <w:rPr>
                <w:rFonts w:cs="Times New Roman"/>
                <w:szCs w:val="24"/>
                <w:vertAlign w:val="superscript"/>
              </w:rPr>
              <w:t>***</w:t>
            </w:r>
            <w:r w:rsidRPr="00EB680E">
              <w:rPr>
                <w:rFonts w:cs="Times New Roman"/>
                <w:szCs w:val="24"/>
              </w:rPr>
              <w:br/>
              <w:t>(5.00)</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-38.24</w:t>
            </w:r>
            <w:r w:rsidRPr="00EB680E">
              <w:rPr>
                <w:rFonts w:cs="Times New Roman"/>
                <w:szCs w:val="24"/>
                <w:vertAlign w:val="superscript"/>
              </w:rPr>
              <w:t>***</w:t>
            </w:r>
            <w:r w:rsidRPr="00EB680E">
              <w:rPr>
                <w:rFonts w:cs="Times New Roman"/>
                <w:szCs w:val="24"/>
              </w:rPr>
              <w:br/>
              <w:t>(5.22)</w:t>
            </w:r>
          </w:p>
        </w:tc>
      </w:tr>
      <w:tr w:rsidR="0099113B" w:rsidRPr="00EB680E" w:rsidTr="0099113B">
        <w:trPr>
          <w:trHeight w:val="368"/>
        </w:trPr>
        <w:tc>
          <w:tcPr>
            <w:tcW w:w="1523"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Obs</w:t>
            </w:r>
            <w:r>
              <w:rPr>
                <w:rFonts w:cs="Times New Roman"/>
                <w:szCs w:val="24"/>
              </w:rPr>
              <w:t>ervations</w:t>
            </w:r>
          </w:p>
        </w:tc>
        <w:tc>
          <w:tcPr>
            <w:tcW w:w="1229"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12</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24</w:t>
            </w:r>
          </w:p>
        </w:tc>
        <w:tc>
          <w:tcPr>
            <w:tcW w:w="1088"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19</w:t>
            </w:r>
          </w:p>
        </w:tc>
        <w:tc>
          <w:tcPr>
            <w:tcW w:w="1088"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32</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55</w:t>
            </w:r>
          </w:p>
        </w:tc>
        <w:tc>
          <w:tcPr>
            <w:tcW w:w="1086"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52</w:t>
            </w:r>
          </w:p>
        </w:tc>
        <w:tc>
          <w:tcPr>
            <w:tcW w:w="1231"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8</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13</w:t>
            </w:r>
          </w:p>
        </w:tc>
        <w:tc>
          <w:tcPr>
            <w:tcW w:w="1191" w:type="dxa"/>
            <w:tcBorders>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8</w:t>
            </w:r>
          </w:p>
        </w:tc>
        <w:tc>
          <w:tcPr>
            <w:tcW w:w="1221" w:type="dxa"/>
            <w:tcBorders>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31</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37</w:t>
            </w:r>
          </w:p>
        </w:tc>
        <w:tc>
          <w:tcPr>
            <w:tcW w:w="1088" w:type="dxa"/>
            <w:tcBorders>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34</w:t>
            </w:r>
          </w:p>
        </w:tc>
      </w:tr>
      <w:tr w:rsidR="0099113B" w:rsidRPr="00EB680E" w:rsidTr="0099113B">
        <w:trPr>
          <w:trHeight w:val="365"/>
        </w:trPr>
        <w:tc>
          <w:tcPr>
            <w:tcW w:w="1523"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rPr>
                <w:rFonts w:cs="Times New Roman"/>
                <w:szCs w:val="24"/>
              </w:rPr>
            </w:pPr>
            <w:r w:rsidRPr="00EB680E">
              <w:rPr>
                <w:rFonts w:cs="Times New Roman"/>
                <w:szCs w:val="24"/>
              </w:rPr>
              <w:t>Country excluded</w:t>
            </w:r>
          </w:p>
        </w:tc>
        <w:tc>
          <w:tcPr>
            <w:tcW w:w="1229"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UK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Sweden</w:t>
            </w:r>
          </w:p>
        </w:tc>
        <w:tc>
          <w:tcPr>
            <w:tcW w:w="1088"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UK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6"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Pr>
                <w:rFonts w:cs="Times New Roman"/>
                <w:szCs w:val="24"/>
              </w:rPr>
              <w:t>Canada</w:t>
            </w:r>
          </w:p>
        </w:tc>
        <w:tc>
          <w:tcPr>
            <w:tcW w:w="1231"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Denmark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191" w:type="dxa"/>
            <w:tcBorders>
              <w:top w:val="single" w:sz="4" w:space="0" w:color="auto"/>
              <w:left w:val="nil"/>
              <w:bottom w:val="single" w:sz="4" w:space="0" w:color="auto"/>
              <w:right w:val="single" w:sz="4" w:space="0" w:color="auto"/>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US</w:t>
            </w:r>
          </w:p>
        </w:tc>
        <w:tc>
          <w:tcPr>
            <w:tcW w:w="1221" w:type="dxa"/>
            <w:tcBorders>
              <w:top w:val="nil"/>
              <w:left w:val="single" w:sz="4" w:space="0" w:color="auto"/>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Denmark</w:t>
            </w: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p>
        </w:tc>
        <w:tc>
          <w:tcPr>
            <w:tcW w:w="1088" w:type="dxa"/>
            <w:tcBorders>
              <w:top w:val="nil"/>
              <w:left w:val="nil"/>
              <w:bottom w:val="single" w:sz="4" w:space="0" w:color="auto"/>
              <w:right w:val="nil"/>
            </w:tcBorders>
          </w:tcPr>
          <w:p w:rsidR="0099113B" w:rsidRPr="00EB680E" w:rsidRDefault="0099113B" w:rsidP="0099113B">
            <w:pPr>
              <w:widowControl w:val="0"/>
              <w:autoSpaceDE w:val="0"/>
              <w:autoSpaceDN w:val="0"/>
              <w:adjustRightInd w:val="0"/>
              <w:spacing w:line="240" w:lineRule="auto"/>
              <w:jc w:val="center"/>
              <w:rPr>
                <w:rFonts w:cs="Times New Roman"/>
                <w:szCs w:val="24"/>
              </w:rPr>
            </w:pPr>
            <w:r w:rsidRPr="00EB680E">
              <w:rPr>
                <w:rFonts w:cs="Times New Roman"/>
                <w:szCs w:val="24"/>
              </w:rPr>
              <w:t>UK</w:t>
            </w:r>
          </w:p>
        </w:tc>
      </w:tr>
    </w:tbl>
    <w:p w:rsidR="0099113B" w:rsidRPr="00CD0C96" w:rsidRDefault="0099113B" w:rsidP="0099113B">
      <w:pPr>
        <w:widowControl w:val="0"/>
        <w:autoSpaceDE w:val="0"/>
        <w:autoSpaceDN w:val="0"/>
        <w:adjustRightInd w:val="0"/>
        <w:spacing w:line="240" w:lineRule="auto"/>
        <w:jc w:val="both"/>
        <w:rPr>
          <w:rFonts w:cs="Times New Roman"/>
          <w:szCs w:val="24"/>
        </w:rPr>
      </w:pPr>
      <w:r w:rsidRPr="00EB680E">
        <w:rPr>
          <w:rFonts w:cs="Times New Roman"/>
          <w:szCs w:val="24"/>
        </w:rPr>
        <w:t xml:space="preserve">Note: Standard errors in parentheses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0.10,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0.05, </w:t>
      </w:r>
      <w:r w:rsidRPr="00EB680E">
        <w:rPr>
          <w:rFonts w:cs="Times New Roman"/>
          <w:szCs w:val="24"/>
          <w:vertAlign w:val="superscript"/>
        </w:rPr>
        <w:t>***</w:t>
      </w:r>
      <w:r w:rsidRPr="00EB680E">
        <w:rPr>
          <w:rFonts w:cs="Times New Roman"/>
          <w:szCs w:val="24"/>
        </w:rPr>
        <w:t xml:space="preserve"> </w:t>
      </w:r>
      <w:r w:rsidRPr="00EB680E">
        <w:rPr>
          <w:rFonts w:cs="Times New Roman"/>
          <w:i/>
          <w:iCs/>
          <w:szCs w:val="24"/>
        </w:rPr>
        <w:t>p</w:t>
      </w:r>
      <w:r w:rsidRPr="00EB680E">
        <w:rPr>
          <w:rFonts w:cs="Times New Roman"/>
          <w:szCs w:val="24"/>
        </w:rPr>
        <w:t xml:space="preserve"> &lt; 0.01. Fixed effects regression with country-panels. Jackknife analysis with countries excluded one by one. The estimations with the weakest and strongest coefficient are reported alongside the full model for each issue. </w:t>
      </w:r>
      <w:r w:rsidRPr="00EB680E">
        <w:rPr>
          <w:rFonts w:cs="Times New Roman"/>
          <w:szCs w:val="24"/>
          <w:vertAlign w:val="superscript"/>
        </w:rPr>
        <w:t xml:space="preserve">a </w:t>
      </w:r>
      <w:r w:rsidRPr="00EB680E">
        <w:rPr>
          <w:rFonts w:cs="Times New Roman"/>
          <w:i/>
          <w:szCs w:val="24"/>
        </w:rPr>
        <w:t>p</w:t>
      </w:r>
      <w:r w:rsidRPr="00EB680E">
        <w:rPr>
          <w:rFonts w:cs="Times New Roman"/>
          <w:szCs w:val="24"/>
        </w:rPr>
        <w:t xml:space="preserve"> is 0.</w:t>
      </w:r>
      <w:r>
        <w:rPr>
          <w:rFonts w:cs="Times New Roman"/>
          <w:szCs w:val="24"/>
        </w:rPr>
        <w:t>27</w:t>
      </w:r>
      <w:r w:rsidRPr="00EB680E">
        <w:rPr>
          <w:rFonts w:cs="Times New Roman"/>
          <w:szCs w:val="24"/>
        </w:rPr>
        <w:t xml:space="preserve">. </w:t>
      </w:r>
      <w:r w:rsidRPr="00EB680E">
        <w:rPr>
          <w:rFonts w:cs="Times New Roman"/>
          <w:szCs w:val="24"/>
          <w:vertAlign w:val="superscript"/>
        </w:rPr>
        <w:t xml:space="preserve">b </w:t>
      </w:r>
      <w:r w:rsidRPr="00EB680E">
        <w:rPr>
          <w:rFonts w:cs="Times New Roman"/>
          <w:i/>
          <w:szCs w:val="24"/>
        </w:rPr>
        <w:t>p</w:t>
      </w:r>
      <w:r w:rsidRPr="00EB680E">
        <w:rPr>
          <w:rFonts w:cs="Times New Roman"/>
          <w:szCs w:val="24"/>
        </w:rPr>
        <w:t xml:space="preserve"> is 0.</w:t>
      </w:r>
      <w:r>
        <w:rPr>
          <w:rFonts w:cs="Times New Roman"/>
          <w:szCs w:val="24"/>
        </w:rPr>
        <w:t>18</w:t>
      </w:r>
      <w:r w:rsidRPr="00EB680E">
        <w:rPr>
          <w:rFonts w:cs="Times New Roman"/>
          <w:szCs w:val="24"/>
        </w:rPr>
        <w:t xml:space="preserve">. </w:t>
      </w:r>
      <w:r>
        <w:rPr>
          <w:rFonts w:cs="Times New Roman"/>
          <w:szCs w:val="24"/>
        </w:rPr>
        <w:t>Observations are country-years.</w:t>
      </w:r>
    </w:p>
    <w:p w:rsidR="000D0396" w:rsidRDefault="000D0396" w:rsidP="0099113B">
      <w:pPr>
        <w:spacing w:after="200" w:line="276" w:lineRule="auto"/>
        <w:sectPr w:rsidR="000D0396" w:rsidSect="000D0396">
          <w:pgSz w:w="15840" w:h="12240" w:orient="landscape"/>
          <w:pgMar w:top="1440" w:right="567" w:bottom="1440" w:left="567" w:header="720" w:footer="720" w:gutter="0"/>
          <w:cols w:space="720"/>
          <w:docGrid w:linePitch="360"/>
        </w:sectPr>
      </w:pPr>
    </w:p>
    <w:p w:rsidR="0099113B" w:rsidRDefault="0099113B" w:rsidP="0099113B">
      <w:r>
        <w:rPr>
          <w:noProof/>
          <w:lang w:val="da-DK" w:eastAsia="da-DK"/>
        </w:rPr>
        <mc:AlternateContent>
          <mc:Choice Requires="wps">
            <w:drawing>
              <wp:anchor distT="0" distB="0" distL="114300" distR="114300" simplePos="0" relativeHeight="251677184" behindDoc="0" locked="0" layoutInCell="1" allowOverlap="1" wp14:anchorId="53DBE9ED" wp14:editId="36A9F8AC">
                <wp:simplePos x="0" y="0"/>
                <wp:positionH relativeFrom="column">
                  <wp:posOffset>3416036</wp:posOffset>
                </wp:positionH>
                <wp:positionV relativeFrom="paragraph">
                  <wp:posOffset>5520055</wp:posOffset>
                </wp:positionV>
                <wp:extent cx="1690370" cy="39624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96240"/>
                        </a:xfrm>
                        <a:prstGeom prst="rect">
                          <a:avLst/>
                        </a:prstGeom>
                        <a:noFill/>
                        <a:ln w="9525">
                          <a:noFill/>
                          <a:miter lim="800000"/>
                          <a:headEnd/>
                          <a:tailEnd/>
                        </a:ln>
                      </wps:spPr>
                      <wps:txbx>
                        <w:txbxContent>
                          <w:p w:rsidR="0099113B" w:rsidRDefault="0099113B" w:rsidP="0099113B">
                            <w:r>
                              <w:t>Issue ownership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BE9ED" id="_x0000_t202" coordsize="21600,21600" o:spt="202" path="m,l,21600r21600,l21600,xe">
                <v:stroke joinstyle="miter"/>
                <v:path gradientshapeok="t" o:connecttype="rect"/>
              </v:shapetype>
              <v:shape id="Text Box 2" o:spid="_x0000_s1034" type="#_x0000_t202" style="position:absolute;margin-left:269pt;margin-top:434.65pt;width:133.1pt;height:3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" filled="f" stroked="f">
                <v:textbox>
                  <w:txbxContent>
                    <w:p w:rsidR="0099113B" w:rsidRDefault="0099113B" w:rsidP="0099113B">
                      <w:r>
                        <w:t>Issue ownership score</w:t>
                      </w:r>
                    </w:p>
                  </w:txbxContent>
                </v:textbox>
              </v:shape>
            </w:pict>
          </mc:Fallback>
        </mc:AlternateContent>
      </w:r>
      <w:r>
        <w:rPr>
          <w:noProof/>
          <w:lang w:val="da-DK" w:eastAsia="da-DK"/>
        </w:rPr>
        <mc:AlternateContent>
          <mc:Choice Requires="wps">
            <w:drawing>
              <wp:anchor distT="0" distB="0" distL="114300" distR="114300" simplePos="0" relativeHeight="251680256" behindDoc="0" locked="0" layoutInCell="1" allowOverlap="1" wp14:anchorId="31B5B494" wp14:editId="22DD604B">
                <wp:simplePos x="0" y="0"/>
                <wp:positionH relativeFrom="column">
                  <wp:posOffset>5958840</wp:posOffset>
                </wp:positionH>
                <wp:positionV relativeFrom="paragraph">
                  <wp:posOffset>5525506</wp:posOffset>
                </wp:positionV>
                <wp:extent cx="1690370" cy="39624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96240"/>
                        </a:xfrm>
                        <a:prstGeom prst="rect">
                          <a:avLst/>
                        </a:prstGeom>
                        <a:noFill/>
                        <a:ln w="9525">
                          <a:noFill/>
                          <a:miter lim="800000"/>
                          <a:headEnd/>
                          <a:tailEnd/>
                        </a:ln>
                      </wps:spPr>
                      <wps:txbx>
                        <w:txbxContent>
                          <w:p w:rsidR="0099113B" w:rsidRDefault="0099113B" w:rsidP="0099113B">
                            <w:r>
                              <w:t>Issue ownership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5B494" id="_x0000_s1035" type="#_x0000_t202" style="position:absolute;margin-left:469.2pt;margin-top:435.1pt;width:133.1pt;height:3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" filled="f" stroked="f">
                <v:textbox>
                  <w:txbxContent>
                    <w:p w:rsidR="0099113B" w:rsidRDefault="0099113B" w:rsidP="0099113B">
                      <w:r>
                        <w:t>Issue ownership score</w:t>
                      </w:r>
                    </w:p>
                  </w:txbxContent>
                </v:textbox>
              </v:shape>
            </w:pict>
          </mc:Fallback>
        </mc:AlternateContent>
      </w:r>
      <w:r>
        <w:rPr>
          <w:noProof/>
          <w:lang w:val="da-DK" w:eastAsia="da-DK"/>
        </w:rPr>
        <mc:AlternateContent>
          <mc:Choice Requires="wps">
            <w:drawing>
              <wp:anchor distT="0" distB="0" distL="114300" distR="114300" simplePos="0" relativeHeight="251674112" behindDoc="0" locked="0" layoutInCell="1" allowOverlap="1" wp14:anchorId="21C3DE83" wp14:editId="723C0315">
                <wp:simplePos x="0" y="0"/>
                <wp:positionH relativeFrom="column">
                  <wp:posOffset>849630</wp:posOffset>
                </wp:positionH>
                <wp:positionV relativeFrom="paragraph">
                  <wp:posOffset>5523230</wp:posOffset>
                </wp:positionV>
                <wp:extent cx="1690370" cy="3962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96240"/>
                        </a:xfrm>
                        <a:prstGeom prst="rect">
                          <a:avLst/>
                        </a:prstGeom>
                        <a:noFill/>
                        <a:ln w="9525">
                          <a:noFill/>
                          <a:miter lim="800000"/>
                          <a:headEnd/>
                          <a:tailEnd/>
                        </a:ln>
                      </wps:spPr>
                      <wps:txbx>
                        <w:txbxContent>
                          <w:p w:rsidR="0099113B" w:rsidRDefault="0099113B" w:rsidP="0099113B">
                            <w:r>
                              <w:t>Issue ownership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DE83" id="_x0000_s1036" type="#_x0000_t202" style="position:absolute;margin-left:66.9pt;margin-top:434.9pt;width:133.1pt;height:3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" filled="f" stroked="f">
                <v:textbox>
                  <w:txbxContent>
                    <w:p w:rsidR="0099113B" w:rsidRDefault="0099113B" w:rsidP="0099113B">
                      <w:r>
                        <w:t>Issue ownership score</w:t>
                      </w:r>
                    </w:p>
                  </w:txbxContent>
                </v:textbox>
              </v:shape>
            </w:pict>
          </mc:Fallback>
        </mc:AlternateContent>
      </w:r>
      <w:r>
        <w:rPr>
          <w:noProof/>
          <w:lang w:val="da-DK" w:eastAsia="da-DK"/>
        </w:rPr>
        <mc:AlternateContent>
          <mc:Choice Requires="wps">
            <w:drawing>
              <wp:anchor distT="0" distB="0" distL="114300" distR="114300" simplePos="0" relativeHeight="251650560" behindDoc="0" locked="0" layoutInCell="1" allowOverlap="1" wp14:anchorId="034F1F04" wp14:editId="0D657C9A">
                <wp:simplePos x="0" y="0"/>
                <wp:positionH relativeFrom="column">
                  <wp:posOffset>236220</wp:posOffset>
                </wp:positionH>
                <wp:positionV relativeFrom="paragraph">
                  <wp:posOffset>-63813</wp:posOffset>
                </wp:positionV>
                <wp:extent cx="6999889"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889" cy="1403985"/>
                        </a:xfrm>
                        <a:prstGeom prst="rect">
                          <a:avLst/>
                        </a:prstGeom>
                        <a:noFill/>
                        <a:ln w="9525">
                          <a:noFill/>
                          <a:miter lim="800000"/>
                          <a:headEnd/>
                          <a:tailEnd/>
                        </a:ln>
                      </wps:spPr>
                      <wps:txbx>
                        <w:txbxContent>
                          <w:p w:rsidR="0099113B" w:rsidRPr="00942554" w:rsidRDefault="0099113B" w:rsidP="0099113B">
                            <w:pPr>
                              <w:rPr>
                                <w:rFonts w:cs="Times New Roman"/>
                                <w:szCs w:val="24"/>
                              </w:rPr>
                            </w:pPr>
                            <w:r w:rsidRPr="00942554">
                              <w:rPr>
                                <w:rFonts w:cs="Times New Roman"/>
                                <w:b/>
                                <w:szCs w:val="24"/>
                              </w:rPr>
                              <w:t>Figure A1</w:t>
                            </w:r>
                            <w:r>
                              <w:rPr>
                                <w:rFonts w:cs="Times New Roman"/>
                                <w:szCs w:val="24"/>
                              </w:rPr>
                              <w:t>. Average issue ownership scores in the 2000s for each party across countries and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F1F04" id="_x0000_s1037" type="#_x0000_t202" style="position:absolute;margin-left:18.6pt;margin-top:-5pt;width:551.1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" filled="f" stroked="f">
                <v:textbox style="mso-fit-shape-to-text:t">
                  <w:txbxContent>
                    <w:p w:rsidR="0099113B" w:rsidRPr="00942554" w:rsidRDefault="0099113B" w:rsidP="0099113B">
                      <w:pPr>
                        <w:rPr>
                          <w:rFonts w:cs="Times New Roman"/>
                          <w:szCs w:val="24"/>
                        </w:rPr>
                      </w:pPr>
                      <w:r w:rsidRPr="00942554">
                        <w:rPr>
                          <w:rFonts w:cs="Times New Roman"/>
                          <w:b/>
                          <w:szCs w:val="24"/>
                        </w:rPr>
                        <w:t>Figure A1</w:t>
                      </w:r>
                      <w:r>
                        <w:rPr>
                          <w:rFonts w:cs="Times New Roman"/>
                          <w:szCs w:val="24"/>
                        </w:rPr>
                        <w:t>. Average issue ownership scores in the 2000s for each party across countries and issues.</w:t>
                      </w:r>
                    </w:p>
                  </w:txbxContent>
                </v:textbox>
              </v:shape>
            </w:pict>
          </mc:Fallback>
        </mc:AlternateContent>
      </w:r>
      <w:r>
        <w:rPr>
          <w:noProof/>
          <w:lang w:val="da-DK" w:eastAsia="da-DK"/>
        </w:rPr>
        <w:drawing>
          <wp:inline distT="0" distB="0" distL="0" distR="0" wp14:anchorId="0969D081" wp14:editId="3B70A3F4">
            <wp:extent cx="8088825" cy="5912069"/>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097" cy="5926155"/>
                    </a:xfrm>
                    <a:prstGeom prst="rect">
                      <a:avLst/>
                    </a:prstGeom>
                    <a:noFill/>
                    <a:ln>
                      <a:noFill/>
                    </a:ln>
                  </pic:spPr>
                </pic:pic>
              </a:graphicData>
            </a:graphic>
          </wp:inline>
        </w:drawing>
      </w:r>
    </w:p>
    <w:p w:rsidR="0099113B" w:rsidRDefault="0099113B" w:rsidP="000D0396">
      <w:r>
        <w:rPr>
          <w:noProof/>
          <w:lang w:val="da-DK" w:eastAsia="da-DK"/>
        </w:rPr>
        <mc:AlternateContent>
          <mc:Choice Requires="wps">
            <w:drawing>
              <wp:anchor distT="0" distB="0" distL="114300" distR="114300" simplePos="0" relativeHeight="251666944" behindDoc="0" locked="0" layoutInCell="1" allowOverlap="1" wp14:anchorId="6B4E9F3B" wp14:editId="423F813C">
                <wp:simplePos x="0" y="0"/>
                <wp:positionH relativeFrom="column">
                  <wp:posOffset>3449691</wp:posOffset>
                </wp:positionH>
                <wp:positionV relativeFrom="paragraph">
                  <wp:posOffset>5523865</wp:posOffset>
                </wp:positionV>
                <wp:extent cx="1690370" cy="3962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96240"/>
                        </a:xfrm>
                        <a:prstGeom prst="rect">
                          <a:avLst/>
                        </a:prstGeom>
                        <a:noFill/>
                        <a:ln w="9525">
                          <a:noFill/>
                          <a:miter lim="800000"/>
                          <a:headEnd/>
                          <a:tailEnd/>
                        </a:ln>
                      </wps:spPr>
                      <wps:txbx>
                        <w:txbxContent>
                          <w:p w:rsidR="0099113B" w:rsidRDefault="0099113B" w:rsidP="0099113B">
                            <w:r>
                              <w:t>Issue ownership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E9F3B" id="_x0000_s1038" type="#_x0000_t202" style="position:absolute;margin-left:271.65pt;margin-top:434.95pt;width:133.1pt;height:3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" filled="f" stroked="f">
                <v:textbox>
                  <w:txbxContent>
                    <w:p w:rsidR="0099113B" w:rsidRDefault="0099113B" w:rsidP="0099113B">
                      <w:r>
                        <w:t>Issue ownership score</w:t>
                      </w:r>
                    </w:p>
                  </w:txbxContent>
                </v:textbox>
              </v:shape>
            </w:pict>
          </mc:Fallback>
        </mc:AlternateContent>
      </w:r>
      <w:r>
        <w:rPr>
          <w:noProof/>
          <w:lang w:val="da-DK" w:eastAsia="da-DK"/>
        </w:rPr>
        <mc:AlternateContent>
          <mc:Choice Requires="wps">
            <w:drawing>
              <wp:anchor distT="0" distB="0" distL="114300" distR="114300" simplePos="0" relativeHeight="251671040" behindDoc="0" locked="0" layoutInCell="1" allowOverlap="1" wp14:anchorId="194DBCBB" wp14:editId="564E14EB">
                <wp:simplePos x="0" y="0"/>
                <wp:positionH relativeFrom="column">
                  <wp:posOffset>5902325</wp:posOffset>
                </wp:positionH>
                <wp:positionV relativeFrom="paragraph">
                  <wp:posOffset>5537835</wp:posOffset>
                </wp:positionV>
                <wp:extent cx="1690370" cy="39624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96240"/>
                        </a:xfrm>
                        <a:prstGeom prst="rect">
                          <a:avLst/>
                        </a:prstGeom>
                        <a:noFill/>
                        <a:ln w="9525">
                          <a:noFill/>
                          <a:miter lim="800000"/>
                          <a:headEnd/>
                          <a:tailEnd/>
                        </a:ln>
                      </wps:spPr>
                      <wps:txbx>
                        <w:txbxContent>
                          <w:p w:rsidR="0099113B" w:rsidRDefault="0099113B" w:rsidP="0099113B">
                            <w:r>
                              <w:t>Issue ownership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DBCBB" id="_x0000_s1039" type="#_x0000_t202" style="position:absolute;margin-left:464.75pt;margin-top:436.05pt;width:133.1pt;height:3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" filled="f" stroked="f">
                <v:textbox>
                  <w:txbxContent>
                    <w:p w:rsidR="0099113B" w:rsidRDefault="0099113B" w:rsidP="0099113B">
                      <w:r>
                        <w:t>Issue ownership score</w:t>
                      </w:r>
                    </w:p>
                  </w:txbxContent>
                </v:textbox>
              </v:shape>
            </w:pict>
          </mc:Fallback>
        </mc:AlternateContent>
      </w:r>
      <w:r>
        <w:rPr>
          <w:noProof/>
          <w:lang w:val="da-DK" w:eastAsia="da-DK"/>
        </w:rPr>
        <mc:AlternateContent>
          <mc:Choice Requires="wps">
            <w:drawing>
              <wp:anchor distT="0" distB="0" distL="114300" distR="114300" simplePos="0" relativeHeight="251662848" behindDoc="0" locked="0" layoutInCell="1" allowOverlap="1" wp14:anchorId="0C85640D" wp14:editId="745BF0AE">
                <wp:simplePos x="0" y="0"/>
                <wp:positionH relativeFrom="column">
                  <wp:posOffset>939800</wp:posOffset>
                </wp:positionH>
                <wp:positionV relativeFrom="paragraph">
                  <wp:posOffset>5544449</wp:posOffset>
                </wp:positionV>
                <wp:extent cx="1690777" cy="396815"/>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777" cy="396815"/>
                        </a:xfrm>
                        <a:prstGeom prst="rect">
                          <a:avLst/>
                        </a:prstGeom>
                        <a:noFill/>
                        <a:ln w="9525">
                          <a:noFill/>
                          <a:miter lim="800000"/>
                          <a:headEnd/>
                          <a:tailEnd/>
                        </a:ln>
                      </wps:spPr>
                      <wps:txbx>
                        <w:txbxContent>
                          <w:p w:rsidR="0099113B" w:rsidRDefault="0099113B" w:rsidP="0099113B">
                            <w:r>
                              <w:t>Issue ownership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640D" id="_x0000_s1040" type="#_x0000_t202" style="position:absolute;margin-left:74pt;margin-top:436.55pt;width:133.15pt;height:3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" filled="f" stroked="f">
                <v:textbox>
                  <w:txbxContent>
                    <w:p w:rsidR="0099113B" w:rsidRDefault="0099113B" w:rsidP="0099113B">
                      <w:r>
                        <w:t>Issue ownership score</w:t>
                      </w:r>
                    </w:p>
                  </w:txbxContent>
                </v:textbox>
              </v:shape>
            </w:pict>
          </mc:Fallback>
        </mc:AlternateContent>
      </w:r>
      <w:r>
        <w:rPr>
          <w:noProof/>
          <w:lang w:val="da-DK" w:eastAsia="da-DK"/>
        </w:rPr>
        <mc:AlternateContent>
          <mc:Choice Requires="wps">
            <w:drawing>
              <wp:anchor distT="0" distB="0" distL="114300" distR="114300" simplePos="0" relativeHeight="251658752" behindDoc="0" locked="0" layoutInCell="1" allowOverlap="1" wp14:anchorId="062D38A1" wp14:editId="0FE21DE1">
                <wp:simplePos x="0" y="0"/>
                <wp:positionH relativeFrom="column">
                  <wp:posOffset>285007</wp:posOffset>
                </wp:positionH>
                <wp:positionV relativeFrom="paragraph">
                  <wp:posOffset>5783283</wp:posOffset>
                </wp:positionV>
                <wp:extent cx="7742711"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2711" cy="1403985"/>
                        </a:xfrm>
                        <a:prstGeom prst="rect">
                          <a:avLst/>
                        </a:prstGeom>
                        <a:noFill/>
                        <a:ln w="9525">
                          <a:noFill/>
                          <a:miter lim="800000"/>
                          <a:headEnd/>
                          <a:tailEnd/>
                        </a:ln>
                      </wps:spPr>
                      <wps:txbx>
                        <w:txbxContent>
                          <w:p w:rsidR="0099113B" w:rsidRPr="00942554" w:rsidRDefault="0099113B" w:rsidP="0099113B">
                            <w:pPr>
                              <w:spacing w:line="276" w:lineRule="auto"/>
                              <w:rPr>
                                <w:rFonts w:cs="Times New Roman"/>
                                <w:szCs w:val="24"/>
                              </w:rPr>
                            </w:pPr>
                            <w:r>
                              <w:rPr>
                                <w:rFonts w:cs="Times New Roman"/>
                                <w:szCs w:val="24"/>
                              </w:rPr>
                              <w:t>Note:</w:t>
                            </w:r>
                            <w:r w:rsidRPr="00942554">
                              <w:rPr>
                                <w:rFonts w:cs="Times New Roman"/>
                                <w:b/>
                                <w:szCs w:val="24"/>
                              </w:rPr>
                              <w:t xml:space="preserve"> </w:t>
                            </w:r>
                            <w:r w:rsidRPr="00942554">
                              <w:rPr>
                                <w:rFonts w:cs="Times New Roman"/>
                                <w:sz w:val="20"/>
                                <w:szCs w:val="20"/>
                              </w:rPr>
                              <w:t xml:space="preserve">Green party (black square); Communist or socialist party (black diamond); Social democratic parties (black circle); Liberal parties (hollow circle); Christian Democratic parties (hollow triangle); Conservative parties (hollow diamond); agrarian party (grey circle); extreme right or regional party (hollow square). </w:t>
                            </w:r>
                            <w:r>
                              <w:rPr>
                                <w:rFonts w:cs="Times New Roman"/>
                                <w:sz w:val="20"/>
                                <w:szCs w:val="20"/>
                              </w:rPr>
                              <w:t>On the vertical axis, the abbreviations refer to the countries in the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D38A1" id="_x0000_s1041" type="#_x0000_t202" style="position:absolute;margin-left:22.45pt;margin-top:455.4pt;width:609.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jXDwIAAPw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" filled="f" stroked="f">
                <v:textbox style="mso-fit-shape-to-text:t">
                  <w:txbxContent>
                    <w:p w:rsidR="0099113B" w:rsidRPr="00942554" w:rsidRDefault="0099113B" w:rsidP="0099113B">
                      <w:pPr>
                        <w:spacing w:line="276" w:lineRule="auto"/>
                        <w:rPr>
                          <w:rFonts w:cs="Times New Roman"/>
                          <w:szCs w:val="24"/>
                        </w:rPr>
                      </w:pPr>
                      <w:r>
                        <w:rPr>
                          <w:rFonts w:cs="Times New Roman"/>
                          <w:szCs w:val="24"/>
                        </w:rPr>
                        <w:t>Note:</w:t>
                      </w:r>
                      <w:r w:rsidRPr="00942554">
                        <w:rPr>
                          <w:rFonts w:cs="Times New Roman"/>
                          <w:b/>
                          <w:szCs w:val="24"/>
                        </w:rPr>
                        <w:t xml:space="preserve"> </w:t>
                      </w:r>
                      <w:r w:rsidRPr="00942554">
                        <w:rPr>
                          <w:rFonts w:cs="Times New Roman"/>
                          <w:sz w:val="20"/>
                          <w:szCs w:val="20"/>
                        </w:rPr>
                        <w:t xml:space="preserve">Green party (black square); Communist or socialist party (black diamond); Social democratic parties (black circle); Liberal parties (hollow circle); Christian Democratic parties (hollow triangle); Conservative parties (hollow diamond); agrarian party (grey circle); extreme right or regional party (hollow square). </w:t>
                      </w:r>
                      <w:r>
                        <w:rPr>
                          <w:rFonts w:cs="Times New Roman"/>
                          <w:sz w:val="20"/>
                          <w:szCs w:val="20"/>
                        </w:rPr>
                        <w:t>On the vertical axis, the abbreviations refer to the countries in the analysis.</w:t>
                      </w:r>
                    </w:p>
                  </w:txbxContent>
                </v:textbox>
              </v:shape>
            </w:pict>
          </mc:Fallback>
        </mc:AlternateContent>
      </w:r>
      <w:r>
        <w:rPr>
          <w:noProof/>
          <w:lang w:val="da-DK" w:eastAsia="da-DK"/>
        </w:rPr>
        <mc:AlternateContent>
          <mc:Choice Requires="wps">
            <w:drawing>
              <wp:anchor distT="0" distB="0" distL="114300" distR="114300" simplePos="0" relativeHeight="251654656" behindDoc="0" locked="0" layoutInCell="1" allowOverlap="1" wp14:anchorId="70A10CB7" wp14:editId="6D71A95C">
                <wp:simplePos x="0" y="0"/>
                <wp:positionH relativeFrom="column">
                  <wp:posOffset>236483</wp:posOffset>
                </wp:positionH>
                <wp:positionV relativeFrom="paragraph">
                  <wp:posOffset>-189186</wp:posOffset>
                </wp:positionV>
                <wp:extent cx="7583214"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214" cy="1403985"/>
                        </a:xfrm>
                        <a:prstGeom prst="rect">
                          <a:avLst/>
                        </a:prstGeom>
                        <a:noFill/>
                        <a:ln w="9525">
                          <a:noFill/>
                          <a:miter lim="800000"/>
                          <a:headEnd/>
                          <a:tailEnd/>
                        </a:ln>
                      </wps:spPr>
                      <wps:txbx>
                        <w:txbxContent>
                          <w:p w:rsidR="0099113B" w:rsidRPr="00942554" w:rsidRDefault="0099113B" w:rsidP="0099113B">
                            <w:pPr>
                              <w:rPr>
                                <w:rFonts w:cs="Times New Roman"/>
                                <w:szCs w:val="24"/>
                              </w:rPr>
                            </w:pPr>
                            <w:r w:rsidRPr="00942554">
                              <w:rPr>
                                <w:rFonts w:cs="Times New Roman"/>
                                <w:b/>
                                <w:szCs w:val="24"/>
                              </w:rPr>
                              <w:t>Figure A1</w:t>
                            </w:r>
                            <w:r>
                              <w:rPr>
                                <w:rFonts w:cs="Times New Roman"/>
                                <w:b/>
                                <w:szCs w:val="24"/>
                              </w:rPr>
                              <w:t xml:space="preserve"> (continued)</w:t>
                            </w:r>
                            <w:r>
                              <w:rPr>
                                <w:rFonts w:cs="Times New Roman"/>
                                <w:szCs w:val="24"/>
                              </w:rPr>
                              <w:t>. Average issue ownership scores in the 2000s for each party across countries and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10CB7" id="_x0000_s1042" type="#_x0000_t202" style="position:absolute;margin-left:18.6pt;margin-top:-14.9pt;width:597.1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" filled="f" stroked="f">
                <v:textbox style="mso-fit-shape-to-text:t">
                  <w:txbxContent>
                    <w:p w:rsidR="0099113B" w:rsidRPr="00942554" w:rsidRDefault="0099113B" w:rsidP="0099113B">
                      <w:pPr>
                        <w:rPr>
                          <w:rFonts w:cs="Times New Roman"/>
                          <w:szCs w:val="24"/>
                        </w:rPr>
                      </w:pPr>
                      <w:r w:rsidRPr="00942554">
                        <w:rPr>
                          <w:rFonts w:cs="Times New Roman"/>
                          <w:b/>
                          <w:szCs w:val="24"/>
                        </w:rPr>
                        <w:t>Figure A1</w:t>
                      </w:r>
                      <w:r>
                        <w:rPr>
                          <w:rFonts w:cs="Times New Roman"/>
                          <w:b/>
                          <w:szCs w:val="24"/>
                        </w:rPr>
                        <w:t xml:space="preserve"> (continued)</w:t>
                      </w:r>
                      <w:r>
                        <w:rPr>
                          <w:rFonts w:cs="Times New Roman"/>
                          <w:szCs w:val="24"/>
                        </w:rPr>
                        <w:t>. Average issue ownership scores in the 2000s for each party across countries and issues.</w:t>
                      </w:r>
                    </w:p>
                  </w:txbxContent>
                </v:textbox>
              </v:shape>
            </w:pict>
          </mc:Fallback>
        </mc:AlternateContent>
      </w:r>
      <w:r>
        <w:rPr>
          <w:noProof/>
          <w:lang w:val="da-DK" w:eastAsia="da-DK"/>
        </w:rPr>
        <w:drawing>
          <wp:inline distT="0" distB="0" distL="0" distR="0" wp14:anchorId="3C7B2961" wp14:editId="5BEF4AEC">
            <wp:extent cx="8026716" cy="5896303"/>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26763" cy="5896338"/>
                    </a:xfrm>
                    <a:prstGeom prst="rect">
                      <a:avLst/>
                    </a:prstGeom>
                    <a:noFill/>
                    <a:ln>
                      <a:noFill/>
                    </a:ln>
                  </pic:spPr>
                </pic:pic>
              </a:graphicData>
            </a:graphic>
          </wp:inline>
        </w:drawing>
      </w:r>
      <w:r>
        <w:br w:type="page"/>
      </w:r>
    </w:p>
    <w:p w:rsidR="000D0396" w:rsidRDefault="000D0396" w:rsidP="0099113B">
      <w:pPr>
        <w:sectPr w:rsidR="000D0396" w:rsidSect="000D0396">
          <w:pgSz w:w="15840" w:h="12240" w:orient="landscape"/>
          <w:pgMar w:top="1440" w:right="1440" w:bottom="1440" w:left="1440" w:header="720" w:footer="720" w:gutter="0"/>
          <w:cols w:space="720"/>
          <w:docGrid w:linePitch="360"/>
        </w:sectPr>
      </w:pPr>
    </w:p>
    <w:p w:rsidR="0099113B" w:rsidRPr="0099113B" w:rsidRDefault="0099113B" w:rsidP="0099113B"/>
    <w:sectPr w:rsidR="0099113B" w:rsidRPr="009911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3B" w:rsidRDefault="0099113B" w:rsidP="00B2342C">
      <w:pPr>
        <w:spacing w:line="240" w:lineRule="auto"/>
      </w:pPr>
      <w:r>
        <w:separator/>
      </w:r>
    </w:p>
  </w:endnote>
  <w:endnote w:type="continuationSeparator" w:id="0">
    <w:p w:rsidR="0099113B" w:rsidRDefault="0099113B" w:rsidP="00B2342C">
      <w:pPr>
        <w:spacing w:line="240" w:lineRule="auto"/>
      </w:pPr>
      <w:r>
        <w:continuationSeparator/>
      </w:r>
    </w:p>
  </w:endnote>
  <w:endnote w:id="1">
    <w:p w:rsidR="0099113B" w:rsidRPr="002104A4" w:rsidRDefault="0099113B" w:rsidP="002104A4">
      <w:pPr>
        <w:pStyle w:val="Slutnotetekst"/>
        <w:spacing w:line="480" w:lineRule="auto"/>
        <w:rPr>
          <w:rFonts w:cs="Times New Roman"/>
          <w:sz w:val="24"/>
          <w:szCs w:val="24"/>
        </w:rPr>
      </w:pPr>
      <w:r w:rsidRPr="002104A4">
        <w:rPr>
          <w:rStyle w:val="Slutnotehenvisning"/>
          <w:sz w:val="24"/>
          <w:szCs w:val="24"/>
        </w:rPr>
        <w:endnoteRef/>
      </w:r>
      <w:r w:rsidRPr="002104A4">
        <w:rPr>
          <w:rFonts w:cs="Times New Roman"/>
          <w:sz w:val="24"/>
          <w:szCs w:val="24"/>
        </w:rPr>
        <w:t xml:space="preserve"> To avoid influential observations, the part of a time series that extends back in time for only one country or a few has been eliminated.</w:t>
      </w:r>
    </w:p>
  </w:endnote>
  <w:endnote w:id="2">
    <w:p w:rsidR="0099113B" w:rsidRPr="002104A4" w:rsidRDefault="0099113B" w:rsidP="002104A4">
      <w:pPr>
        <w:pStyle w:val="Slutnotetekst"/>
        <w:spacing w:line="480" w:lineRule="auto"/>
        <w:rPr>
          <w:rFonts w:cs="Times New Roman"/>
          <w:sz w:val="24"/>
          <w:szCs w:val="24"/>
        </w:rPr>
      </w:pPr>
      <w:r w:rsidRPr="002104A4">
        <w:rPr>
          <w:rStyle w:val="Slutnotehenvisning"/>
          <w:sz w:val="24"/>
          <w:szCs w:val="24"/>
        </w:rPr>
        <w:endnoteRef/>
      </w:r>
      <w:r w:rsidRPr="002104A4">
        <w:rPr>
          <w:rFonts w:cs="Times New Roman"/>
          <w:sz w:val="24"/>
          <w:szCs w:val="24"/>
        </w:rPr>
        <w:t xml:space="preserve"> Since time series data on the UK is not available from the British Election Study, data that in content is equivalent to that provided by National Election Studies have been collected from Ipsos Mori. </w:t>
      </w:r>
    </w:p>
  </w:endnote>
  <w:endnote w:id="3">
    <w:p w:rsidR="0099113B" w:rsidRPr="00230E34" w:rsidRDefault="0099113B" w:rsidP="00230E34">
      <w:pPr>
        <w:pStyle w:val="Slutnotetekst"/>
        <w:spacing w:line="480" w:lineRule="auto"/>
        <w:jc w:val="both"/>
      </w:pPr>
      <w:r>
        <w:rPr>
          <w:rStyle w:val="Slutnotehenvisning"/>
        </w:rPr>
        <w:endnoteRef/>
      </w:r>
      <w:r>
        <w:t xml:space="preserve"> </w:t>
      </w:r>
      <w:r w:rsidRPr="002104A4">
        <w:rPr>
          <w:sz w:val="24"/>
          <w:szCs w:val="24"/>
        </w:rPr>
        <w:t>The issue ownership of the EU is more unclear though since the rivals tend to be the mainstream parties on both sides of the center against parties at each end of the political spectrum</w:t>
      </w:r>
      <w:r>
        <w:rPr>
          <w:sz w:val="24"/>
          <w:szCs w:val="24"/>
        </w:rPr>
        <w:t xml:space="preserve"> </w:t>
      </w:r>
      <w:r>
        <w:rPr>
          <w:sz w:val="24"/>
          <w:szCs w:val="24"/>
        </w:rPr>
        <w:fldChar w:fldCharType="begin"/>
      </w:r>
      <w:r>
        <w:rPr>
          <w:sz w:val="24"/>
          <w:szCs w:val="24"/>
        </w:rPr>
        <w:instrText xml:space="preserve"> ADDIN ZOTERO_ITEM CSL_CITATION {"citationID":"fOVu1nWO","properties":{"formattedCitation":"(Taggart 1998)","plainCitation":"(Taggart 1998)"},"citationItems":[{"id":1162,"uris":["http://zotero.org/users/local/7eX6MhG9/items/FQKWA2RR"],"uri":["http://zotero.org/users/local/7eX6MhG9/items/FQKWA2RR"],"itemData":{"id":1162,"type":"article-journal","title":"A touchstone of dissent: Euroscepticism in contemporary Western European party systems","container-title":"European Journal of Political Research","page":"363-388","volume":"33","issue":"3","source":"link.springer.com","abstract":"With the recent acceleration of the integration process of the European Union there has been a rise in political parties expressing either scepticism or outright criticism of the nature of the integration process. Using a four-fold differentiation between single issue, protest, established parties and factions within parties, the first part of the article presents an overview of Euroscepticism within EU member states and Norway. This reveals the diversity of sources of Euroscepticism both in ideology and in the types of parties that are Eurosceptical but with a preponderance of protest parties taking Eurosceptical positions. The second part of the article is an attempt to map Euroscepticism in West European party systems through a consideration of ideology and party position in the party system. The conclusions are that Euroscepticism is mainly limited to parties on the periphery of their party system and is often there used as an issue that differentiates those parties from the more established parties which are only likely to express Euroscepticism through factions. Party based Euroscepticism is therefore both largely dependent on domestic contextual factors and a useful issue to map emergent domestic political constellations.","DOI":"10.1023/A:1006853204101","ISSN":"0304-4130, 1475-6765","shortTitle":"A touchstone of dissent","journalAbbreviation":"European Journal of Political Research","language":"en","author":[{"family":"Taggart","given":"Paul"}],"issued":{"date-parts":[["1998",4]]}}}],"schema":"https://github.com/citation-style-language/schema/raw/master/csl-citation.json"} </w:instrText>
      </w:r>
      <w:r>
        <w:rPr>
          <w:sz w:val="24"/>
          <w:szCs w:val="24"/>
        </w:rPr>
        <w:fldChar w:fldCharType="separate"/>
      </w:r>
      <w:r w:rsidRPr="002104A4">
        <w:rPr>
          <w:rFonts w:cs="Times New Roman"/>
          <w:sz w:val="24"/>
        </w:rPr>
        <w:t>(Taggart 1998)</w:t>
      </w:r>
      <w:r>
        <w:rPr>
          <w:sz w:val="24"/>
          <w:szCs w:val="24"/>
        </w:rPr>
        <w:fldChar w:fldCharType="end"/>
      </w:r>
      <w:r w:rsidRPr="002104A4">
        <w:rPr>
          <w:sz w:val="24"/>
          <w:szCs w:val="24"/>
        </w:rPr>
        <w:t>.</w:t>
      </w:r>
    </w:p>
  </w:endnote>
  <w:endnote w:id="4">
    <w:p w:rsidR="0099113B" w:rsidRPr="00E87D64" w:rsidRDefault="0099113B" w:rsidP="00E87D64">
      <w:pPr>
        <w:pStyle w:val="Slutnotetekst"/>
        <w:spacing w:line="480" w:lineRule="auto"/>
        <w:jc w:val="both"/>
        <w:rPr>
          <w:sz w:val="24"/>
          <w:szCs w:val="24"/>
          <w:lang w:val="en-AU"/>
        </w:rPr>
      </w:pPr>
      <w:r w:rsidRPr="00E87D64">
        <w:rPr>
          <w:rStyle w:val="Slutnotehenvisning"/>
          <w:sz w:val="24"/>
          <w:szCs w:val="24"/>
        </w:rPr>
        <w:endnoteRef/>
      </w:r>
      <w:r w:rsidRPr="00E87D64">
        <w:rPr>
          <w:sz w:val="24"/>
          <w:szCs w:val="24"/>
        </w:rPr>
        <w:t xml:space="preserve"> </w:t>
      </w:r>
      <w:r w:rsidRPr="00E87D64">
        <w:rPr>
          <w:sz w:val="24"/>
          <w:szCs w:val="24"/>
          <w:lang w:val="en-AU"/>
        </w:rPr>
        <w:t xml:space="preserve">A weakness of this measure is </w:t>
      </w:r>
      <w:r>
        <w:rPr>
          <w:sz w:val="24"/>
          <w:szCs w:val="24"/>
          <w:lang w:val="en-AU"/>
        </w:rPr>
        <w:t xml:space="preserve">that </w:t>
      </w:r>
      <w:r w:rsidRPr="00E87D64">
        <w:rPr>
          <w:sz w:val="24"/>
          <w:szCs w:val="24"/>
          <w:lang w:val="en-AU"/>
        </w:rPr>
        <w:t>the right-</w:t>
      </w:r>
      <w:r>
        <w:rPr>
          <w:sz w:val="24"/>
          <w:szCs w:val="24"/>
          <w:lang w:val="en-AU"/>
        </w:rPr>
        <w:t>of-cent</w:t>
      </w:r>
      <w:r w:rsidRPr="00E87D64">
        <w:rPr>
          <w:sz w:val="24"/>
          <w:szCs w:val="24"/>
          <w:lang w:val="en-AU"/>
        </w:rPr>
        <w:t>e</w:t>
      </w:r>
      <w:r>
        <w:rPr>
          <w:sz w:val="24"/>
          <w:szCs w:val="24"/>
          <w:lang w:val="en-AU"/>
        </w:rPr>
        <w:t>r</w:t>
      </w:r>
      <w:r w:rsidRPr="00E87D64">
        <w:rPr>
          <w:sz w:val="24"/>
          <w:szCs w:val="24"/>
          <w:lang w:val="en-AU"/>
        </w:rPr>
        <w:t xml:space="preserve"> parties </w:t>
      </w:r>
      <w:r>
        <w:rPr>
          <w:sz w:val="24"/>
          <w:szCs w:val="24"/>
          <w:lang w:val="en-AU"/>
        </w:rPr>
        <w:t xml:space="preserve">together </w:t>
      </w:r>
      <w:r w:rsidRPr="00E87D64">
        <w:rPr>
          <w:sz w:val="24"/>
          <w:szCs w:val="24"/>
          <w:lang w:val="en-AU"/>
        </w:rPr>
        <w:t xml:space="preserve">may have issue ownership, but the Social Democrats </w:t>
      </w:r>
      <w:r>
        <w:rPr>
          <w:sz w:val="24"/>
          <w:szCs w:val="24"/>
          <w:lang w:val="en-AU"/>
        </w:rPr>
        <w:t xml:space="preserve">may </w:t>
      </w:r>
      <w:r w:rsidRPr="00E87D64">
        <w:rPr>
          <w:sz w:val="24"/>
          <w:szCs w:val="24"/>
          <w:lang w:val="en-AU"/>
        </w:rPr>
        <w:t xml:space="preserve">have the </w:t>
      </w:r>
      <w:r>
        <w:rPr>
          <w:sz w:val="24"/>
          <w:szCs w:val="24"/>
          <w:lang w:val="en-AU"/>
        </w:rPr>
        <w:t xml:space="preserve">clearly </w:t>
      </w:r>
      <w:r w:rsidRPr="00E87D64">
        <w:rPr>
          <w:sz w:val="24"/>
          <w:szCs w:val="24"/>
          <w:lang w:val="en-AU"/>
        </w:rPr>
        <w:t xml:space="preserve">largest issue ownership score. </w:t>
      </w:r>
      <w:r>
        <w:rPr>
          <w:sz w:val="24"/>
          <w:szCs w:val="24"/>
          <w:lang w:val="en-AU"/>
        </w:rPr>
        <w:t xml:space="preserve">However, as reported in Figure A1 in the appendix, such situation very rarely occurs. </w:t>
      </w:r>
    </w:p>
  </w:endnote>
  <w:endnote w:id="5">
    <w:p w:rsidR="0099113B" w:rsidRPr="00F75B86" w:rsidRDefault="0099113B" w:rsidP="00F75B86">
      <w:pPr>
        <w:pStyle w:val="Slutnotetekst"/>
        <w:spacing w:line="480" w:lineRule="auto"/>
        <w:jc w:val="both"/>
        <w:rPr>
          <w:sz w:val="24"/>
          <w:szCs w:val="24"/>
          <w:lang w:val="en-AU"/>
        </w:rPr>
      </w:pPr>
      <w:r w:rsidRPr="00F75B86">
        <w:rPr>
          <w:rStyle w:val="Slutnotehenvisning"/>
          <w:sz w:val="24"/>
          <w:szCs w:val="24"/>
        </w:rPr>
        <w:endnoteRef/>
      </w:r>
      <w:r w:rsidRPr="00F75B86">
        <w:rPr>
          <w:sz w:val="24"/>
          <w:szCs w:val="24"/>
        </w:rPr>
        <w:t xml:space="preserve"> </w:t>
      </w:r>
      <w:r>
        <w:rPr>
          <w:sz w:val="24"/>
          <w:szCs w:val="24"/>
        </w:rPr>
        <w:t>Figure A1 in t</w:t>
      </w:r>
      <w:r w:rsidRPr="00F75B86">
        <w:rPr>
          <w:sz w:val="24"/>
          <w:szCs w:val="24"/>
          <w:lang w:val="en-AU"/>
        </w:rPr>
        <w:t xml:space="preserve">he appendix reports the information on issue ownership scores for each party in each country that is used to calculate the overall left-right issue ownership across countries. </w:t>
      </w:r>
    </w:p>
  </w:endnote>
  <w:endnote w:id="6">
    <w:p w:rsidR="0099113B" w:rsidRPr="002104A4" w:rsidRDefault="0099113B" w:rsidP="002104A4">
      <w:pPr>
        <w:pStyle w:val="Slutnotetekst"/>
        <w:spacing w:line="480" w:lineRule="auto"/>
        <w:rPr>
          <w:rFonts w:cs="Times New Roman"/>
          <w:sz w:val="24"/>
          <w:szCs w:val="24"/>
        </w:rPr>
      </w:pPr>
      <w:r w:rsidRPr="002104A4">
        <w:rPr>
          <w:rStyle w:val="Slutnotehenvisning"/>
          <w:sz w:val="24"/>
          <w:szCs w:val="24"/>
        </w:rPr>
        <w:endnoteRef/>
      </w:r>
      <w:r w:rsidRPr="002104A4">
        <w:rPr>
          <w:rFonts w:cs="Times New Roman"/>
          <w:sz w:val="24"/>
          <w:szCs w:val="24"/>
        </w:rPr>
        <w:t xml:space="preserve"> In Denmark, voters are asked to choose the left or the right bloc. With multiple parties in parliament, the Danish measurement deviates from the typical measurement at the party-level. Since party competition in Denmark centers around the two main parties of the left and the right, the Social Democrats and the Liberals (at least from the mid-90s), these parties were used to CMP-code the issue ownership question in Denmark.</w:t>
      </w:r>
    </w:p>
  </w:endnote>
  <w:endnote w:id="7">
    <w:p w:rsidR="0099113B" w:rsidRPr="009D663C" w:rsidRDefault="0099113B" w:rsidP="009D663C">
      <w:pPr>
        <w:pStyle w:val="Slutnotetekst"/>
        <w:spacing w:line="480" w:lineRule="auto"/>
        <w:jc w:val="both"/>
        <w:rPr>
          <w:sz w:val="24"/>
          <w:szCs w:val="24"/>
          <w:lang w:val="en-AU"/>
        </w:rPr>
      </w:pPr>
      <w:r w:rsidRPr="009D663C">
        <w:rPr>
          <w:rStyle w:val="Slutnotehenvisning"/>
          <w:sz w:val="24"/>
          <w:szCs w:val="24"/>
        </w:rPr>
        <w:endnoteRef/>
      </w:r>
      <w:r w:rsidRPr="009D663C">
        <w:rPr>
          <w:sz w:val="24"/>
          <w:szCs w:val="24"/>
        </w:rPr>
        <w:t xml:space="preserve"> </w:t>
      </w:r>
      <w:r>
        <w:rPr>
          <w:sz w:val="24"/>
          <w:szCs w:val="24"/>
          <w:lang w:val="en-AU"/>
        </w:rPr>
        <w:t>T</w:t>
      </w:r>
      <w:r w:rsidRPr="009D663C">
        <w:rPr>
          <w:sz w:val="24"/>
          <w:szCs w:val="24"/>
          <w:lang w:val="en-AU"/>
        </w:rPr>
        <w:t>he Liberal Democrats in Britain before the 2010-coalition</w:t>
      </w:r>
      <w:r>
        <w:rPr>
          <w:sz w:val="24"/>
          <w:szCs w:val="24"/>
          <w:lang w:val="en-AU"/>
        </w:rPr>
        <w:t xml:space="preserve"> should probably be classified as a </w:t>
      </w:r>
      <w:r w:rsidRPr="009D663C">
        <w:rPr>
          <w:sz w:val="24"/>
          <w:szCs w:val="24"/>
          <w:lang w:val="en-AU"/>
        </w:rPr>
        <w:t xml:space="preserve">centrist </w:t>
      </w:r>
      <w:r>
        <w:rPr>
          <w:sz w:val="24"/>
          <w:szCs w:val="24"/>
          <w:lang w:val="en-AU"/>
        </w:rPr>
        <w:t>if not a left-of-center more than a right-of-cent</w:t>
      </w:r>
      <w:r w:rsidRPr="009D663C">
        <w:rPr>
          <w:sz w:val="24"/>
          <w:szCs w:val="24"/>
          <w:lang w:val="en-AU"/>
        </w:rPr>
        <w:t>e</w:t>
      </w:r>
      <w:r>
        <w:rPr>
          <w:sz w:val="24"/>
          <w:szCs w:val="24"/>
          <w:lang w:val="en-AU"/>
        </w:rPr>
        <w:t>r party</w:t>
      </w:r>
      <w:r w:rsidRPr="009D663C">
        <w:rPr>
          <w:sz w:val="24"/>
          <w:szCs w:val="24"/>
          <w:lang w:val="en-AU"/>
        </w:rPr>
        <w:t>.</w:t>
      </w:r>
      <w:r>
        <w:rPr>
          <w:sz w:val="24"/>
          <w:szCs w:val="24"/>
          <w:lang w:val="en-AU"/>
        </w:rPr>
        <w:t xml:space="preserve"> However, this does not affect the results since issue ownership in Britain for this analysis is only measured for Labour and Conservatives</w:t>
      </w:r>
      <w:r w:rsidRPr="009D663C">
        <w:rPr>
          <w:sz w:val="24"/>
          <w:szCs w:val="24"/>
          <w:lang w:val="en-AU"/>
        </w:rPr>
        <w:t>.</w:t>
      </w:r>
    </w:p>
  </w:endnote>
  <w:endnote w:id="8">
    <w:p w:rsidR="0099113B" w:rsidRPr="002104A4" w:rsidRDefault="0099113B" w:rsidP="002104A4">
      <w:pPr>
        <w:pStyle w:val="Slutnotetekst"/>
        <w:spacing w:line="480" w:lineRule="auto"/>
        <w:rPr>
          <w:sz w:val="24"/>
          <w:szCs w:val="24"/>
        </w:rPr>
      </w:pPr>
      <w:r w:rsidRPr="002104A4">
        <w:rPr>
          <w:rStyle w:val="Slutnotehenvisning"/>
          <w:sz w:val="24"/>
          <w:szCs w:val="24"/>
        </w:rPr>
        <w:endnoteRef/>
      </w:r>
      <w:r w:rsidRPr="002104A4">
        <w:rPr>
          <w:sz w:val="24"/>
          <w:szCs w:val="24"/>
        </w:rPr>
        <w:t xml:space="preserve"> </w:t>
      </w:r>
      <w:r w:rsidRPr="002104A4">
        <w:rPr>
          <w:rFonts w:cs="Times New Roman"/>
          <w:sz w:val="24"/>
          <w:szCs w:val="24"/>
        </w:rPr>
        <w:t xml:space="preserve">Christian democratic parties are coded as part of the right-of-center parties, which are not expected to have issue ownership of welfare issues (as discussed above). However, in countries historically dominated by a Christian democratic party such as the Netherlands, Switzerland, Germany, and Austria, welfare issues connected to the family may belong to this party </w:t>
      </w:r>
      <w:r w:rsidRPr="002104A4">
        <w:rPr>
          <w:rFonts w:cs="Times New Roman"/>
          <w:sz w:val="24"/>
          <w:szCs w:val="24"/>
        </w:rPr>
        <w:fldChar w:fldCharType="begin"/>
      </w:r>
      <w:r w:rsidRPr="002104A4">
        <w:rPr>
          <w:rFonts w:cs="Times New Roman"/>
          <w:sz w:val="24"/>
          <w:szCs w:val="24"/>
        </w:rPr>
        <w:instrText xml:space="preserve"> ADDIN ZOTERO_ITEM CSL_CITATION {"citationID":"CR33RnvO","properties":{"formattedCitation":"(Kersbergen 1995)","plainCitation":"(Kersbergen 1995)"},"citationItems":[{"id":346,"uris":["http://zotero.org/users/local/7eX6MhG9/items/7MSR9RSJ"],"uri":["http://zotero.org/users/local/7eX6MhG9/items/7MSR9RSJ"],"itemData":{"id":346,"type":"book","title":"Social Capitalism. A Study of Christian Democracy and the Welfare State","publisher":"Routledge","publisher-place":"London","event-place":"London","author":[{"family":"Kersbergen","given":"Kees","dropping-particle":"van"}],"issued":{"date-parts":[["1995"]]}}}],"schema":"https://github.com/citation-style-language/schema/raw/master/csl-citation.json"} </w:instrText>
      </w:r>
      <w:r w:rsidRPr="002104A4">
        <w:rPr>
          <w:rFonts w:cs="Times New Roman"/>
          <w:sz w:val="24"/>
          <w:szCs w:val="24"/>
        </w:rPr>
        <w:fldChar w:fldCharType="separate"/>
      </w:r>
      <w:r w:rsidRPr="002104A4">
        <w:rPr>
          <w:rFonts w:cs="Times New Roman"/>
          <w:sz w:val="24"/>
          <w:szCs w:val="24"/>
        </w:rPr>
        <w:t>(Kersbergen 1995)</w:t>
      </w:r>
      <w:r w:rsidRPr="002104A4">
        <w:rPr>
          <w:rFonts w:cs="Times New Roman"/>
          <w:sz w:val="24"/>
          <w:szCs w:val="24"/>
        </w:rPr>
        <w:fldChar w:fldCharType="end"/>
      </w:r>
      <w:r w:rsidRPr="002104A4">
        <w:rPr>
          <w:rFonts w:cs="Times New Roman"/>
          <w:sz w:val="24"/>
          <w:szCs w:val="24"/>
        </w:rPr>
        <w:t xml:space="preserve">. Since data is not available for these countries on these issues (see Table 1), this cannot be further investigated in the analysis, and it cannot cause cross-country divergences on these issues in the analysis. </w:t>
      </w:r>
    </w:p>
  </w:endnote>
  <w:endnote w:id="9">
    <w:p w:rsidR="0099113B" w:rsidRPr="002104A4" w:rsidRDefault="0099113B" w:rsidP="002104A4">
      <w:pPr>
        <w:pStyle w:val="Slutnotetekst"/>
        <w:spacing w:line="480" w:lineRule="auto"/>
        <w:rPr>
          <w:rFonts w:cs="Times New Roman"/>
          <w:sz w:val="24"/>
          <w:szCs w:val="24"/>
        </w:rPr>
      </w:pPr>
      <w:r w:rsidRPr="002104A4">
        <w:rPr>
          <w:rStyle w:val="Slutnotehenvisning"/>
          <w:sz w:val="24"/>
          <w:szCs w:val="24"/>
        </w:rPr>
        <w:endnoteRef/>
      </w:r>
      <w:r w:rsidRPr="002104A4">
        <w:rPr>
          <w:rFonts w:cs="Times New Roman"/>
          <w:sz w:val="24"/>
          <w:szCs w:val="24"/>
        </w:rPr>
        <w:t xml:space="preserve"> This is a standard classification in research on parties and voters </w:t>
      </w:r>
      <w:r w:rsidRPr="002104A4">
        <w:rPr>
          <w:rFonts w:cs="Times New Roman"/>
          <w:sz w:val="24"/>
          <w:szCs w:val="24"/>
        </w:rPr>
        <w:fldChar w:fldCharType="begin"/>
      </w:r>
      <w:r w:rsidRPr="002104A4">
        <w:rPr>
          <w:rFonts w:cs="Times New Roman"/>
          <w:sz w:val="24"/>
          <w:szCs w:val="24"/>
        </w:rPr>
        <w:instrText xml:space="preserve"> ADDIN ZOTERO_ITEM CSL_CITATION {"citationID":"ox6zKtcL","properties":{"formattedCitation":"(Adams and Somer-Topcu 2009)","plainCitation":"(Adams and Somer-Topcu 2009)"},"citationItems":[{"id":269,"uris":["http://zotero.org/users/local/7eX6MhG9/items/A2IFTNFE"],"uri":["http://zotero.org/users/local/7eX6MhG9/items/A2IFTNFE"],"itemData":{"id":269,"type":"article-journal","title":"Do parties adjust their policies in response to rival parties' policy shifts? Spatial theory and the dynamics of party competition in twenty-five democracies","container-title":"British Journal of Political Science","page":"825–846","volume":"39","issue":"4","author":[{"family":"Adams","given":"James"},{"family":"Somer-Topcu","given":"Zeynep"}],"issued":{"date-parts":[["2009"]]}}}],"schema":"https://github.com/citation-style-language/schema/raw/master/csl-citation.json"} </w:instrText>
      </w:r>
      <w:r w:rsidRPr="002104A4">
        <w:rPr>
          <w:rFonts w:cs="Times New Roman"/>
          <w:sz w:val="24"/>
          <w:szCs w:val="24"/>
        </w:rPr>
        <w:fldChar w:fldCharType="separate"/>
      </w:r>
      <w:r w:rsidRPr="002104A4">
        <w:rPr>
          <w:rFonts w:cs="Times New Roman"/>
          <w:sz w:val="24"/>
          <w:szCs w:val="24"/>
        </w:rPr>
        <w:t>(Adams and Somer-Topcu 2009)</w:t>
      </w:r>
      <w:r w:rsidRPr="002104A4">
        <w:rPr>
          <w:rFonts w:cs="Times New Roman"/>
          <w:sz w:val="24"/>
          <w:szCs w:val="24"/>
        </w:rPr>
        <w:fldChar w:fldCharType="end"/>
      </w:r>
      <w:r w:rsidRPr="002104A4">
        <w:rPr>
          <w:rFonts w:cs="Times New Roman"/>
          <w:sz w:val="24"/>
          <w:szCs w:val="24"/>
        </w:rPr>
        <w:t>. In the CMP codebook, the US Democrats and the British Labour party are coded as belonging to the social democratic party family. More centrist parties such as the Liberal Democrats in the UK or the Social Liberals in Denmark are also coded according to the CMP codebook</w:t>
      </w:r>
      <w:r>
        <w:rPr>
          <w:rFonts w:cs="Times New Roman"/>
          <w:sz w:val="24"/>
          <w:szCs w:val="24"/>
        </w:rPr>
        <w:t xml:space="preserve"> and therefore</w:t>
      </w:r>
      <w:r w:rsidRPr="002104A4">
        <w:rPr>
          <w:rFonts w:cs="Times New Roman"/>
          <w:sz w:val="24"/>
          <w:szCs w:val="24"/>
        </w:rPr>
        <w:t xml:space="preserve"> as part of the right parties. Ideally, each of these centrist parties were coded in detail over time according to which government, they would join or support. However, with the number of elections to cover, this would be an overwhelming task, and it would probably not change the results substantively based on the current analysis where the large number of elections in multiple countries </w:t>
      </w:r>
      <w:r>
        <w:rPr>
          <w:rFonts w:cs="Times New Roman"/>
          <w:sz w:val="24"/>
          <w:szCs w:val="24"/>
        </w:rPr>
        <w:t>helps</w:t>
      </w:r>
      <w:r w:rsidRPr="002104A4">
        <w:rPr>
          <w:rFonts w:cs="Times New Roman"/>
          <w:sz w:val="24"/>
          <w:szCs w:val="24"/>
        </w:rPr>
        <w:t xml:space="preserve"> </w:t>
      </w:r>
      <w:r>
        <w:rPr>
          <w:rFonts w:cs="Times New Roman"/>
          <w:sz w:val="24"/>
          <w:szCs w:val="24"/>
        </w:rPr>
        <w:t>such measurement error</w:t>
      </w:r>
      <w:r w:rsidRPr="002104A4">
        <w:rPr>
          <w:rFonts w:cs="Times New Roman"/>
          <w:sz w:val="24"/>
          <w:szCs w:val="24"/>
        </w:rPr>
        <w:t xml:space="preserve"> </w:t>
      </w:r>
      <w:r>
        <w:rPr>
          <w:rFonts w:cs="Times New Roman"/>
          <w:sz w:val="24"/>
          <w:szCs w:val="24"/>
        </w:rPr>
        <w:t xml:space="preserve">to </w:t>
      </w:r>
      <w:r w:rsidRPr="002104A4">
        <w:rPr>
          <w:rFonts w:cs="Times New Roman"/>
          <w:sz w:val="24"/>
          <w:szCs w:val="24"/>
        </w:rPr>
        <w:t>cancel out.</w:t>
      </w:r>
    </w:p>
  </w:endnote>
  <w:endnote w:id="10">
    <w:p w:rsidR="0099113B" w:rsidRPr="002104A4" w:rsidRDefault="0099113B" w:rsidP="002104A4">
      <w:pPr>
        <w:rPr>
          <w:rFonts w:cs="Times New Roman"/>
          <w:szCs w:val="24"/>
        </w:rPr>
      </w:pPr>
      <w:r w:rsidRPr="002104A4">
        <w:rPr>
          <w:rStyle w:val="Slutnotehenvisning"/>
          <w:szCs w:val="24"/>
        </w:rPr>
        <w:endnoteRef/>
      </w:r>
      <w:r w:rsidRPr="002104A4">
        <w:rPr>
          <w:rFonts w:cs="Times New Roman"/>
          <w:szCs w:val="24"/>
        </w:rPr>
        <w:t xml:space="preserve"> I used the issue content codebook from the Comparative Agendas Project </w:t>
      </w:r>
      <w:r w:rsidRPr="002104A4">
        <w:rPr>
          <w:rFonts w:cs="Times New Roman"/>
          <w:szCs w:val="24"/>
        </w:rPr>
        <w:fldChar w:fldCharType="begin"/>
      </w:r>
      <w:r w:rsidRPr="002104A4">
        <w:rPr>
          <w:rFonts w:cs="Times New Roman"/>
          <w:szCs w:val="24"/>
        </w:rPr>
        <w:instrText xml:space="preserve"> ADDIN ZOTERO_ITEM CSL_CITATION {"citationID":"BPDk8ciP","properties":{"formattedCitation":"(Baumgartner, Jones, and Wilkerson 2011)","plainCitation":"(Baumgartner, Jones, and Wilkerson 2011)"},"citationItems":[{"id":1043,"uris":["http://zotero.org/users/local/7eX6MhG9/items/6TPASDG7"],"uri":["http://zotero.org/users/local/7eX6MhG9/items/6TPASDG7"],"itemData":{"id":1043,"type":"article-journal","title":"Comparative Studies of Policy Dynamics","container-title":"Comparative Political Studies","page":"947-972","volume":"44","issue":"8","source":"cps.sagepub.com","abstract":"Major new understandings of policy change are emerging from a program to measure attention to policies across nations using the same instrument. Participants in this special issue have created new indicators of government activities in 11 countries over several decades. Each database is comprehensive in that it includes information about every activity of its type (e.g., laws, bills, parliamentary questions, prime ministerial speeches) for the time period covered, typically several decades. These databases are linked by a common policy topic classification system, which allows new types of analyses of public policy dynamics over time. The authors introduce the theoretical and practical questions addressed in the volume, explain the nature of the work completed, and suggest some of the ways that this new infrastructure may allow new types of comparative analyses of public policy, institutions, and outcomes. In particular, the authors challenge political scientists to incorporate policy variability into their analyses and to move far beyond the search for partisan and electoral explanations of policy change.","ISSN":"0010-4140, 1552-3829","journalAbbreviation":"Comparative Political Studies","language":"en","author":[{"family":"Baumgartner","given":"Frank R."},{"family":"Jones","given":"Bryan D."},{"family":"Wilkerson","given":"John"}],"issued":{"date-parts":[["2011",8,1]]}}}],"schema":"https://github.com/citation-style-language/schema/raw/master/csl-citation.json"} </w:instrText>
      </w:r>
      <w:r w:rsidRPr="002104A4">
        <w:rPr>
          <w:rFonts w:cs="Times New Roman"/>
          <w:szCs w:val="24"/>
        </w:rPr>
        <w:fldChar w:fldCharType="separate"/>
      </w:r>
      <w:r w:rsidRPr="002104A4">
        <w:rPr>
          <w:rFonts w:cs="Times New Roman"/>
          <w:szCs w:val="24"/>
        </w:rPr>
        <w:t>(Baumgartner, Jones, and Wilkerson 2011)</w:t>
      </w:r>
      <w:r w:rsidRPr="002104A4">
        <w:rPr>
          <w:rFonts w:cs="Times New Roman"/>
          <w:szCs w:val="24"/>
        </w:rPr>
        <w:fldChar w:fldCharType="end"/>
      </w:r>
      <w:r w:rsidRPr="002104A4">
        <w:rPr>
          <w:rFonts w:cs="Times New Roman"/>
          <w:szCs w:val="24"/>
        </w:rPr>
        <w:t>.</w:t>
      </w:r>
    </w:p>
  </w:endnote>
  <w:endnote w:id="11">
    <w:p w:rsidR="0099113B" w:rsidRPr="002104A4" w:rsidRDefault="0099113B" w:rsidP="002104A4">
      <w:pPr>
        <w:pStyle w:val="Slutnotetekst"/>
        <w:spacing w:line="480" w:lineRule="auto"/>
        <w:rPr>
          <w:rFonts w:cs="Times New Roman"/>
          <w:sz w:val="24"/>
          <w:szCs w:val="24"/>
        </w:rPr>
      </w:pPr>
      <w:r w:rsidRPr="002104A4">
        <w:rPr>
          <w:rStyle w:val="Slutnotehenvisning"/>
          <w:sz w:val="24"/>
          <w:szCs w:val="24"/>
        </w:rPr>
        <w:endnoteRef/>
      </w:r>
      <w:r w:rsidRPr="002104A4">
        <w:rPr>
          <w:rFonts w:cs="Times New Roman"/>
          <w:sz w:val="24"/>
          <w:szCs w:val="24"/>
        </w:rPr>
        <w:t xml:space="preserve"> To reflect the perception of welfare in the US, this was coded as social security.</w:t>
      </w:r>
    </w:p>
  </w:endnote>
  <w:endnote w:id="12">
    <w:p w:rsidR="0099113B" w:rsidRPr="002104A4" w:rsidRDefault="0099113B" w:rsidP="002104A4">
      <w:pPr>
        <w:pStyle w:val="Slutnotetekst"/>
        <w:spacing w:line="480" w:lineRule="auto"/>
        <w:rPr>
          <w:rFonts w:cs="Times New Roman"/>
          <w:sz w:val="24"/>
          <w:szCs w:val="24"/>
        </w:rPr>
      </w:pPr>
      <w:r w:rsidRPr="002104A4">
        <w:rPr>
          <w:rStyle w:val="Slutnotehenvisning"/>
          <w:sz w:val="24"/>
          <w:szCs w:val="24"/>
        </w:rPr>
        <w:endnoteRef/>
      </w:r>
      <w:r w:rsidRPr="002104A4">
        <w:rPr>
          <w:rFonts w:cs="Times New Roman"/>
          <w:sz w:val="24"/>
          <w:szCs w:val="24"/>
        </w:rPr>
        <w:t xml:space="preserve"> See Tables A1 and A2 in the online appendix for a list of questions.</w:t>
      </w:r>
    </w:p>
  </w:endnote>
  <w:endnote w:id="13">
    <w:p w:rsidR="0099113B" w:rsidRPr="002104A4" w:rsidRDefault="0099113B" w:rsidP="002104A4">
      <w:pPr>
        <w:pStyle w:val="Slutnotetekst"/>
        <w:spacing w:line="480" w:lineRule="auto"/>
        <w:rPr>
          <w:rFonts w:cs="Times New Roman"/>
          <w:sz w:val="24"/>
          <w:szCs w:val="24"/>
        </w:rPr>
      </w:pPr>
      <w:r w:rsidRPr="002104A4">
        <w:rPr>
          <w:rStyle w:val="Slutnotehenvisning"/>
          <w:sz w:val="24"/>
          <w:szCs w:val="24"/>
        </w:rPr>
        <w:endnoteRef/>
      </w:r>
      <w:r w:rsidRPr="002104A4">
        <w:rPr>
          <w:rFonts w:cs="Times New Roman"/>
          <w:sz w:val="24"/>
          <w:szCs w:val="24"/>
        </w:rPr>
        <w:t xml:space="preserve"> In the cross-time analysis, the intercept for tax and the coefficient for the time-effect for health change sign. However, this does not change the overall conclusions with an issue ownership of tax generally to the right and an issue ownership of health generally to the left. It only suggests more movement over time when specific countries are left out of the estimation.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161018"/>
      <w:docPartObj>
        <w:docPartGallery w:val="Page Numbers (Bottom of Page)"/>
        <w:docPartUnique/>
      </w:docPartObj>
    </w:sdtPr>
    <w:sdtEndPr/>
    <w:sdtContent>
      <w:p w:rsidR="0099113B" w:rsidRDefault="0099113B">
        <w:pPr>
          <w:pStyle w:val="Sidefod"/>
          <w:jc w:val="right"/>
        </w:pPr>
        <w:r>
          <w:fldChar w:fldCharType="begin"/>
        </w:r>
        <w:r>
          <w:instrText>PAGE   \* MERGEFORMAT</w:instrText>
        </w:r>
        <w:r>
          <w:fldChar w:fldCharType="separate"/>
        </w:r>
        <w:r w:rsidR="00DA4373" w:rsidRPr="00DA4373">
          <w:rPr>
            <w:noProof/>
            <w:lang w:val="da-DK"/>
          </w:rPr>
          <w:t>1</w:t>
        </w:r>
        <w:r>
          <w:fldChar w:fldCharType="end"/>
        </w:r>
      </w:p>
    </w:sdtContent>
  </w:sdt>
  <w:p w:rsidR="0099113B" w:rsidRDefault="0099113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796461"/>
      <w:docPartObj>
        <w:docPartGallery w:val="Page Numbers (Bottom of Page)"/>
        <w:docPartUnique/>
      </w:docPartObj>
    </w:sdtPr>
    <w:sdtEndPr/>
    <w:sdtContent>
      <w:p w:rsidR="0099113B" w:rsidRDefault="0099113B">
        <w:pPr>
          <w:pStyle w:val="Sidefod"/>
          <w:jc w:val="right"/>
        </w:pPr>
        <w:r>
          <w:fldChar w:fldCharType="begin"/>
        </w:r>
        <w:r>
          <w:instrText>PAGE   \* MERGEFORMAT</w:instrText>
        </w:r>
        <w:r>
          <w:fldChar w:fldCharType="separate"/>
        </w:r>
        <w:r w:rsidR="00DA4373" w:rsidRPr="00DA4373">
          <w:rPr>
            <w:noProof/>
            <w:lang w:val="da-DK"/>
          </w:rPr>
          <w:t>33</w:t>
        </w:r>
        <w:r>
          <w:fldChar w:fldCharType="end"/>
        </w:r>
      </w:p>
    </w:sdtContent>
  </w:sdt>
  <w:p w:rsidR="0099113B" w:rsidRDefault="009911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3B" w:rsidRDefault="0099113B" w:rsidP="00B2342C">
      <w:pPr>
        <w:spacing w:line="240" w:lineRule="auto"/>
      </w:pPr>
      <w:r>
        <w:separator/>
      </w:r>
    </w:p>
  </w:footnote>
  <w:footnote w:type="continuationSeparator" w:id="0">
    <w:p w:rsidR="0099113B" w:rsidRDefault="0099113B" w:rsidP="00B234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71"/>
    <w:rsid w:val="0000077D"/>
    <w:rsid w:val="000009C1"/>
    <w:rsid w:val="00001513"/>
    <w:rsid w:val="00001724"/>
    <w:rsid w:val="00002670"/>
    <w:rsid w:val="000045C4"/>
    <w:rsid w:val="00013C95"/>
    <w:rsid w:val="00020DFF"/>
    <w:rsid w:val="000211BC"/>
    <w:rsid w:val="000247F6"/>
    <w:rsid w:val="00025BC5"/>
    <w:rsid w:val="00026337"/>
    <w:rsid w:val="00026D95"/>
    <w:rsid w:val="00037BDF"/>
    <w:rsid w:val="000431B6"/>
    <w:rsid w:val="00046BDC"/>
    <w:rsid w:val="00047E6E"/>
    <w:rsid w:val="000541DB"/>
    <w:rsid w:val="00055170"/>
    <w:rsid w:val="0005535B"/>
    <w:rsid w:val="0005591B"/>
    <w:rsid w:val="000633BB"/>
    <w:rsid w:val="0006399E"/>
    <w:rsid w:val="00070379"/>
    <w:rsid w:val="0007407D"/>
    <w:rsid w:val="00074F27"/>
    <w:rsid w:val="00075115"/>
    <w:rsid w:val="0007684A"/>
    <w:rsid w:val="00080347"/>
    <w:rsid w:val="0008078F"/>
    <w:rsid w:val="00087BDF"/>
    <w:rsid w:val="00090C84"/>
    <w:rsid w:val="000943AF"/>
    <w:rsid w:val="00094CC1"/>
    <w:rsid w:val="00096445"/>
    <w:rsid w:val="00096450"/>
    <w:rsid w:val="000A5D1A"/>
    <w:rsid w:val="000A6CA0"/>
    <w:rsid w:val="000A7DC8"/>
    <w:rsid w:val="000B02B1"/>
    <w:rsid w:val="000B057F"/>
    <w:rsid w:val="000B1236"/>
    <w:rsid w:val="000B1C2B"/>
    <w:rsid w:val="000B367A"/>
    <w:rsid w:val="000B7233"/>
    <w:rsid w:val="000B79AA"/>
    <w:rsid w:val="000C1ADF"/>
    <w:rsid w:val="000C1CD6"/>
    <w:rsid w:val="000C287A"/>
    <w:rsid w:val="000C28DF"/>
    <w:rsid w:val="000C2EC3"/>
    <w:rsid w:val="000C5275"/>
    <w:rsid w:val="000C79DD"/>
    <w:rsid w:val="000D0396"/>
    <w:rsid w:val="000D1783"/>
    <w:rsid w:val="000D2565"/>
    <w:rsid w:val="000D6BB7"/>
    <w:rsid w:val="000E03B8"/>
    <w:rsid w:val="000E28AC"/>
    <w:rsid w:val="000E7FF9"/>
    <w:rsid w:val="000F192B"/>
    <w:rsid w:val="000F4054"/>
    <w:rsid w:val="000F4C71"/>
    <w:rsid w:val="000F4CE9"/>
    <w:rsid w:val="000F58D1"/>
    <w:rsid w:val="001029E0"/>
    <w:rsid w:val="00106656"/>
    <w:rsid w:val="001105F8"/>
    <w:rsid w:val="0011149E"/>
    <w:rsid w:val="00113525"/>
    <w:rsid w:val="00115A48"/>
    <w:rsid w:val="00116F36"/>
    <w:rsid w:val="00125A66"/>
    <w:rsid w:val="00125CB9"/>
    <w:rsid w:val="00125E78"/>
    <w:rsid w:val="00126FC2"/>
    <w:rsid w:val="00133CFE"/>
    <w:rsid w:val="00136B28"/>
    <w:rsid w:val="00137319"/>
    <w:rsid w:val="00137B5A"/>
    <w:rsid w:val="001442B1"/>
    <w:rsid w:val="001474DD"/>
    <w:rsid w:val="001478D7"/>
    <w:rsid w:val="001506C8"/>
    <w:rsid w:val="001522D4"/>
    <w:rsid w:val="0015660E"/>
    <w:rsid w:val="00160963"/>
    <w:rsid w:val="001612F6"/>
    <w:rsid w:val="00161552"/>
    <w:rsid w:val="00165325"/>
    <w:rsid w:val="00165726"/>
    <w:rsid w:val="00166156"/>
    <w:rsid w:val="00166883"/>
    <w:rsid w:val="0017300B"/>
    <w:rsid w:val="001730FF"/>
    <w:rsid w:val="00181B51"/>
    <w:rsid w:val="001826B6"/>
    <w:rsid w:val="001831EF"/>
    <w:rsid w:val="001852A3"/>
    <w:rsid w:val="00187171"/>
    <w:rsid w:val="00187EEE"/>
    <w:rsid w:val="00196DC2"/>
    <w:rsid w:val="001A2977"/>
    <w:rsid w:val="001A29A3"/>
    <w:rsid w:val="001B07DA"/>
    <w:rsid w:val="001B1659"/>
    <w:rsid w:val="001B636D"/>
    <w:rsid w:val="001C02E1"/>
    <w:rsid w:val="001C6724"/>
    <w:rsid w:val="001C68EE"/>
    <w:rsid w:val="001C6CC0"/>
    <w:rsid w:val="001C72E1"/>
    <w:rsid w:val="001D36A0"/>
    <w:rsid w:val="001D3D9E"/>
    <w:rsid w:val="001D52F5"/>
    <w:rsid w:val="001E274B"/>
    <w:rsid w:val="001E27DB"/>
    <w:rsid w:val="001E28BE"/>
    <w:rsid w:val="001E7602"/>
    <w:rsid w:val="001F1386"/>
    <w:rsid w:val="001F3400"/>
    <w:rsid w:val="001F4BEE"/>
    <w:rsid w:val="001F5957"/>
    <w:rsid w:val="00200938"/>
    <w:rsid w:val="00203725"/>
    <w:rsid w:val="002040B5"/>
    <w:rsid w:val="00207730"/>
    <w:rsid w:val="002104A4"/>
    <w:rsid w:val="00211DBF"/>
    <w:rsid w:val="002125F5"/>
    <w:rsid w:val="002136CA"/>
    <w:rsid w:val="00220168"/>
    <w:rsid w:val="0022101E"/>
    <w:rsid w:val="00222B8B"/>
    <w:rsid w:val="0022430C"/>
    <w:rsid w:val="00226223"/>
    <w:rsid w:val="00230E34"/>
    <w:rsid w:val="002313AF"/>
    <w:rsid w:val="00232690"/>
    <w:rsid w:val="00232E4B"/>
    <w:rsid w:val="002354BB"/>
    <w:rsid w:val="002355EF"/>
    <w:rsid w:val="00243169"/>
    <w:rsid w:val="0024346C"/>
    <w:rsid w:val="00247B5D"/>
    <w:rsid w:val="00251144"/>
    <w:rsid w:val="0025258C"/>
    <w:rsid w:val="002529BF"/>
    <w:rsid w:val="00254875"/>
    <w:rsid w:val="00257A32"/>
    <w:rsid w:val="002620AD"/>
    <w:rsid w:val="00264CF8"/>
    <w:rsid w:val="00264F8E"/>
    <w:rsid w:val="0027049C"/>
    <w:rsid w:val="00271F48"/>
    <w:rsid w:val="002735B4"/>
    <w:rsid w:val="002744D0"/>
    <w:rsid w:val="0027553A"/>
    <w:rsid w:val="00275F19"/>
    <w:rsid w:val="002763C3"/>
    <w:rsid w:val="002808C3"/>
    <w:rsid w:val="002812DC"/>
    <w:rsid w:val="00281B58"/>
    <w:rsid w:val="00284CC5"/>
    <w:rsid w:val="00285E22"/>
    <w:rsid w:val="00285FA3"/>
    <w:rsid w:val="0028760A"/>
    <w:rsid w:val="00290282"/>
    <w:rsid w:val="00291110"/>
    <w:rsid w:val="00291500"/>
    <w:rsid w:val="002949C5"/>
    <w:rsid w:val="002A3337"/>
    <w:rsid w:val="002A5045"/>
    <w:rsid w:val="002A7A38"/>
    <w:rsid w:val="002B16B3"/>
    <w:rsid w:val="002B2A49"/>
    <w:rsid w:val="002B4BD3"/>
    <w:rsid w:val="002B5487"/>
    <w:rsid w:val="002B5C87"/>
    <w:rsid w:val="002C03B0"/>
    <w:rsid w:val="002C297E"/>
    <w:rsid w:val="002C2C2D"/>
    <w:rsid w:val="002C4BE9"/>
    <w:rsid w:val="002C7957"/>
    <w:rsid w:val="002C79DB"/>
    <w:rsid w:val="002D01AC"/>
    <w:rsid w:val="002D12B3"/>
    <w:rsid w:val="002D1A0A"/>
    <w:rsid w:val="002D3FE3"/>
    <w:rsid w:val="002D534F"/>
    <w:rsid w:val="002D6130"/>
    <w:rsid w:val="002E41BB"/>
    <w:rsid w:val="002E5998"/>
    <w:rsid w:val="002E6824"/>
    <w:rsid w:val="002F76B3"/>
    <w:rsid w:val="00302278"/>
    <w:rsid w:val="00305734"/>
    <w:rsid w:val="00305F07"/>
    <w:rsid w:val="00306337"/>
    <w:rsid w:val="00311833"/>
    <w:rsid w:val="00311CBC"/>
    <w:rsid w:val="00314BEA"/>
    <w:rsid w:val="00314C8D"/>
    <w:rsid w:val="003153C9"/>
    <w:rsid w:val="00316B0E"/>
    <w:rsid w:val="00316F85"/>
    <w:rsid w:val="00324100"/>
    <w:rsid w:val="0032511A"/>
    <w:rsid w:val="003274A7"/>
    <w:rsid w:val="00327C9B"/>
    <w:rsid w:val="00332EFE"/>
    <w:rsid w:val="00337BFE"/>
    <w:rsid w:val="00337E42"/>
    <w:rsid w:val="003403FE"/>
    <w:rsid w:val="00343F30"/>
    <w:rsid w:val="0034457E"/>
    <w:rsid w:val="00347D35"/>
    <w:rsid w:val="00350064"/>
    <w:rsid w:val="00350CAF"/>
    <w:rsid w:val="003513AE"/>
    <w:rsid w:val="00352347"/>
    <w:rsid w:val="003526B2"/>
    <w:rsid w:val="00353A2E"/>
    <w:rsid w:val="0035402A"/>
    <w:rsid w:val="003546B1"/>
    <w:rsid w:val="0035480C"/>
    <w:rsid w:val="00354D9E"/>
    <w:rsid w:val="00355C17"/>
    <w:rsid w:val="00355D6C"/>
    <w:rsid w:val="00356A28"/>
    <w:rsid w:val="003649E0"/>
    <w:rsid w:val="003658FB"/>
    <w:rsid w:val="00365C3F"/>
    <w:rsid w:val="003711D4"/>
    <w:rsid w:val="00372568"/>
    <w:rsid w:val="00372882"/>
    <w:rsid w:val="00375BB6"/>
    <w:rsid w:val="00376252"/>
    <w:rsid w:val="00376763"/>
    <w:rsid w:val="00380C61"/>
    <w:rsid w:val="00392508"/>
    <w:rsid w:val="00397135"/>
    <w:rsid w:val="00397627"/>
    <w:rsid w:val="003A29A4"/>
    <w:rsid w:val="003A3716"/>
    <w:rsid w:val="003A6F68"/>
    <w:rsid w:val="003B0DE1"/>
    <w:rsid w:val="003B303F"/>
    <w:rsid w:val="003B68F9"/>
    <w:rsid w:val="003B742B"/>
    <w:rsid w:val="003C3F2F"/>
    <w:rsid w:val="003C4ACA"/>
    <w:rsid w:val="003C6D9F"/>
    <w:rsid w:val="003D0E5F"/>
    <w:rsid w:val="003D1A70"/>
    <w:rsid w:val="003D3C3A"/>
    <w:rsid w:val="003D56A0"/>
    <w:rsid w:val="003D61D4"/>
    <w:rsid w:val="003D6322"/>
    <w:rsid w:val="003D7104"/>
    <w:rsid w:val="003D7D3C"/>
    <w:rsid w:val="003E2C46"/>
    <w:rsid w:val="003E2F80"/>
    <w:rsid w:val="003E4594"/>
    <w:rsid w:val="003E5611"/>
    <w:rsid w:val="003E587D"/>
    <w:rsid w:val="003E60A4"/>
    <w:rsid w:val="003E7A4E"/>
    <w:rsid w:val="003F3ECB"/>
    <w:rsid w:val="003F56C1"/>
    <w:rsid w:val="00401812"/>
    <w:rsid w:val="00402960"/>
    <w:rsid w:val="0040305E"/>
    <w:rsid w:val="004031F6"/>
    <w:rsid w:val="00403A32"/>
    <w:rsid w:val="004062B9"/>
    <w:rsid w:val="00406690"/>
    <w:rsid w:val="00410952"/>
    <w:rsid w:val="00412B64"/>
    <w:rsid w:val="004137D6"/>
    <w:rsid w:val="004141E8"/>
    <w:rsid w:val="00415C21"/>
    <w:rsid w:val="004164E7"/>
    <w:rsid w:val="0042118F"/>
    <w:rsid w:val="004219A4"/>
    <w:rsid w:val="00422BFB"/>
    <w:rsid w:val="00423528"/>
    <w:rsid w:val="004269E5"/>
    <w:rsid w:val="00430544"/>
    <w:rsid w:val="00431B94"/>
    <w:rsid w:val="004326EE"/>
    <w:rsid w:val="00432EB8"/>
    <w:rsid w:val="00432F20"/>
    <w:rsid w:val="00433B16"/>
    <w:rsid w:val="00433CDD"/>
    <w:rsid w:val="00437CAA"/>
    <w:rsid w:val="00442272"/>
    <w:rsid w:val="004425A2"/>
    <w:rsid w:val="00443F78"/>
    <w:rsid w:val="004446F2"/>
    <w:rsid w:val="00444BA7"/>
    <w:rsid w:val="004456B8"/>
    <w:rsid w:val="00446213"/>
    <w:rsid w:val="00446496"/>
    <w:rsid w:val="00451B77"/>
    <w:rsid w:val="0045281F"/>
    <w:rsid w:val="00452AFF"/>
    <w:rsid w:val="00454016"/>
    <w:rsid w:val="00454A91"/>
    <w:rsid w:val="0045576E"/>
    <w:rsid w:val="00455CA8"/>
    <w:rsid w:val="00456435"/>
    <w:rsid w:val="00456CC4"/>
    <w:rsid w:val="00462031"/>
    <w:rsid w:val="00463123"/>
    <w:rsid w:val="00464861"/>
    <w:rsid w:val="00465904"/>
    <w:rsid w:val="00467638"/>
    <w:rsid w:val="00470D8F"/>
    <w:rsid w:val="004811CA"/>
    <w:rsid w:val="00481255"/>
    <w:rsid w:val="00481D56"/>
    <w:rsid w:val="00485DCC"/>
    <w:rsid w:val="0048715C"/>
    <w:rsid w:val="0049158F"/>
    <w:rsid w:val="004951E7"/>
    <w:rsid w:val="004953F5"/>
    <w:rsid w:val="004A1C3F"/>
    <w:rsid w:val="004A40D9"/>
    <w:rsid w:val="004A652C"/>
    <w:rsid w:val="004A6975"/>
    <w:rsid w:val="004A6BAE"/>
    <w:rsid w:val="004B0479"/>
    <w:rsid w:val="004B30AF"/>
    <w:rsid w:val="004B3456"/>
    <w:rsid w:val="004B51DC"/>
    <w:rsid w:val="004B639D"/>
    <w:rsid w:val="004B764B"/>
    <w:rsid w:val="004B7710"/>
    <w:rsid w:val="004C1034"/>
    <w:rsid w:val="004C14A1"/>
    <w:rsid w:val="004C17BD"/>
    <w:rsid w:val="004C4708"/>
    <w:rsid w:val="004C6DEA"/>
    <w:rsid w:val="004C75E3"/>
    <w:rsid w:val="004C7AE1"/>
    <w:rsid w:val="004D242C"/>
    <w:rsid w:val="004E7708"/>
    <w:rsid w:val="004F2694"/>
    <w:rsid w:val="004F27F5"/>
    <w:rsid w:val="004F29ED"/>
    <w:rsid w:val="0050342E"/>
    <w:rsid w:val="00504C60"/>
    <w:rsid w:val="00510281"/>
    <w:rsid w:val="00512D46"/>
    <w:rsid w:val="00513DA0"/>
    <w:rsid w:val="005147FF"/>
    <w:rsid w:val="0051534C"/>
    <w:rsid w:val="00515461"/>
    <w:rsid w:val="00521B74"/>
    <w:rsid w:val="0052281B"/>
    <w:rsid w:val="005238E6"/>
    <w:rsid w:val="0052445F"/>
    <w:rsid w:val="005272CB"/>
    <w:rsid w:val="005272F8"/>
    <w:rsid w:val="005348F6"/>
    <w:rsid w:val="00537B82"/>
    <w:rsid w:val="00541533"/>
    <w:rsid w:val="005419BE"/>
    <w:rsid w:val="00542DDC"/>
    <w:rsid w:val="00543D2A"/>
    <w:rsid w:val="00544C30"/>
    <w:rsid w:val="00544E16"/>
    <w:rsid w:val="005454E2"/>
    <w:rsid w:val="00546F41"/>
    <w:rsid w:val="00550DB2"/>
    <w:rsid w:val="00551181"/>
    <w:rsid w:val="00554203"/>
    <w:rsid w:val="00557807"/>
    <w:rsid w:val="00560906"/>
    <w:rsid w:val="005610EC"/>
    <w:rsid w:val="005614A3"/>
    <w:rsid w:val="00561C01"/>
    <w:rsid w:val="00562307"/>
    <w:rsid w:val="00567177"/>
    <w:rsid w:val="005673A5"/>
    <w:rsid w:val="00567934"/>
    <w:rsid w:val="0057038B"/>
    <w:rsid w:val="00572423"/>
    <w:rsid w:val="00572986"/>
    <w:rsid w:val="00574B7F"/>
    <w:rsid w:val="00575AA0"/>
    <w:rsid w:val="00580223"/>
    <w:rsid w:val="00580296"/>
    <w:rsid w:val="00583B8F"/>
    <w:rsid w:val="00583FBE"/>
    <w:rsid w:val="0058541F"/>
    <w:rsid w:val="005872C3"/>
    <w:rsid w:val="005879D0"/>
    <w:rsid w:val="00592B82"/>
    <w:rsid w:val="00594C7F"/>
    <w:rsid w:val="00594C98"/>
    <w:rsid w:val="005A0E03"/>
    <w:rsid w:val="005A1651"/>
    <w:rsid w:val="005A26B2"/>
    <w:rsid w:val="005A28F7"/>
    <w:rsid w:val="005A53F3"/>
    <w:rsid w:val="005B415F"/>
    <w:rsid w:val="005B6D56"/>
    <w:rsid w:val="005B6EC9"/>
    <w:rsid w:val="005C168A"/>
    <w:rsid w:val="005C3581"/>
    <w:rsid w:val="005C40D8"/>
    <w:rsid w:val="005C4BBB"/>
    <w:rsid w:val="005C5D19"/>
    <w:rsid w:val="005D0DA5"/>
    <w:rsid w:val="005D0F4A"/>
    <w:rsid w:val="005D151E"/>
    <w:rsid w:val="005D1AB5"/>
    <w:rsid w:val="005D1EAB"/>
    <w:rsid w:val="005D378F"/>
    <w:rsid w:val="005D5B98"/>
    <w:rsid w:val="005D6EC5"/>
    <w:rsid w:val="005D73A7"/>
    <w:rsid w:val="005E05E0"/>
    <w:rsid w:val="005E17A3"/>
    <w:rsid w:val="005E3E73"/>
    <w:rsid w:val="005E6BF7"/>
    <w:rsid w:val="005F1159"/>
    <w:rsid w:val="005F150C"/>
    <w:rsid w:val="005F4E0C"/>
    <w:rsid w:val="005F60D0"/>
    <w:rsid w:val="005F721F"/>
    <w:rsid w:val="00602D5A"/>
    <w:rsid w:val="00607505"/>
    <w:rsid w:val="00610CE2"/>
    <w:rsid w:val="0061110A"/>
    <w:rsid w:val="00611BF3"/>
    <w:rsid w:val="00616417"/>
    <w:rsid w:val="00622371"/>
    <w:rsid w:val="0062488D"/>
    <w:rsid w:val="00631BB9"/>
    <w:rsid w:val="00631C21"/>
    <w:rsid w:val="00632376"/>
    <w:rsid w:val="00635E6D"/>
    <w:rsid w:val="00636503"/>
    <w:rsid w:val="00640D12"/>
    <w:rsid w:val="00644CC6"/>
    <w:rsid w:val="00646151"/>
    <w:rsid w:val="00647218"/>
    <w:rsid w:val="00647BFF"/>
    <w:rsid w:val="00652E5D"/>
    <w:rsid w:val="00654A94"/>
    <w:rsid w:val="00656B7A"/>
    <w:rsid w:val="006570D5"/>
    <w:rsid w:val="00657DF6"/>
    <w:rsid w:val="00661AB3"/>
    <w:rsid w:val="00662AE2"/>
    <w:rsid w:val="006638F0"/>
    <w:rsid w:val="006642D7"/>
    <w:rsid w:val="00665C60"/>
    <w:rsid w:val="00666092"/>
    <w:rsid w:val="00667AC1"/>
    <w:rsid w:val="006703F2"/>
    <w:rsid w:val="00670D77"/>
    <w:rsid w:val="00675993"/>
    <w:rsid w:val="0067713C"/>
    <w:rsid w:val="00677DF2"/>
    <w:rsid w:val="006813B3"/>
    <w:rsid w:val="006822D7"/>
    <w:rsid w:val="006841F7"/>
    <w:rsid w:val="00686E06"/>
    <w:rsid w:val="00690ACA"/>
    <w:rsid w:val="00692A6A"/>
    <w:rsid w:val="00696404"/>
    <w:rsid w:val="00696AB0"/>
    <w:rsid w:val="006978E4"/>
    <w:rsid w:val="006A15AC"/>
    <w:rsid w:val="006A1C08"/>
    <w:rsid w:val="006A503E"/>
    <w:rsid w:val="006A7F78"/>
    <w:rsid w:val="006B5FFB"/>
    <w:rsid w:val="006C0865"/>
    <w:rsid w:val="006C5056"/>
    <w:rsid w:val="006C505C"/>
    <w:rsid w:val="006C6523"/>
    <w:rsid w:val="006D11C7"/>
    <w:rsid w:val="006D3F4C"/>
    <w:rsid w:val="006D5E0F"/>
    <w:rsid w:val="006E30E5"/>
    <w:rsid w:val="006E5D53"/>
    <w:rsid w:val="006E5F8B"/>
    <w:rsid w:val="006F2DFE"/>
    <w:rsid w:val="006F3182"/>
    <w:rsid w:val="006F638B"/>
    <w:rsid w:val="006F78FB"/>
    <w:rsid w:val="006F7FF3"/>
    <w:rsid w:val="00700722"/>
    <w:rsid w:val="00701DA2"/>
    <w:rsid w:val="00702728"/>
    <w:rsid w:val="00706F3A"/>
    <w:rsid w:val="0071282D"/>
    <w:rsid w:val="00714CDC"/>
    <w:rsid w:val="00715677"/>
    <w:rsid w:val="00715DA9"/>
    <w:rsid w:val="00716705"/>
    <w:rsid w:val="00716F4F"/>
    <w:rsid w:val="0071747B"/>
    <w:rsid w:val="00720231"/>
    <w:rsid w:val="00721159"/>
    <w:rsid w:val="0072338D"/>
    <w:rsid w:val="00723CD4"/>
    <w:rsid w:val="00724515"/>
    <w:rsid w:val="0072491E"/>
    <w:rsid w:val="007262EF"/>
    <w:rsid w:val="00732A0B"/>
    <w:rsid w:val="00733127"/>
    <w:rsid w:val="00733A3E"/>
    <w:rsid w:val="00736A33"/>
    <w:rsid w:val="00737146"/>
    <w:rsid w:val="00741254"/>
    <w:rsid w:val="007444E6"/>
    <w:rsid w:val="00744991"/>
    <w:rsid w:val="0074704A"/>
    <w:rsid w:val="00752553"/>
    <w:rsid w:val="007527AB"/>
    <w:rsid w:val="00754371"/>
    <w:rsid w:val="007544CC"/>
    <w:rsid w:val="00755097"/>
    <w:rsid w:val="00756A15"/>
    <w:rsid w:val="00761C2D"/>
    <w:rsid w:val="007644D3"/>
    <w:rsid w:val="0076568F"/>
    <w:rsid w:val="00766304"/>
    <w:rsid w:val="007705AB"/>
    <w:rsid w:val="00771304"/>
    <w:rsid w:val="007750ED"/>
    <w:rsid w:val="00777D6E"/>
    <w:rsid w:val="00780EEE"/>
    <w:rsid w:val="00781A48"/>
    <w:rsid w:val="00783D91"/>
    <w:rsid w:val="00785408"/>
    <w:rsid w:val="0078549C"/>
    <w:rsid w:val="00785B8B"/>
    <w:rsid w:val="007877E4"/>
    <w:rsid w:val="00791908"/>
    <w:rsid w:val="00791A35"/>
    <w:rsid w:val="007941DB"/>
    <w:rsid w:val="00794570"/>
    <w:rsid w:val="00796AE7"/>
    <w:rsid w:val="007A0884"/>
    <w:rsid w:val="007A21BF"/>
    <w:rsid w:val="007A4AB8"/>
    <w:rsid w:val="007A4B7F"/>
    <w:rsid w:val="007A4F91"/>
    <w:rsid w:val="007A5AA0"/>
    <w:rsid w:val="007A6F9E"/>
    <w:rsid w:val="007A7552"/>
    <w:rsid w:val="007B17B4"/>
    <w:rsid w:val="007B2A0C"/>
    <w:rsid w:val="007B575B"/>
    <w:rsid w:val="007B5B05"/>
    <w:rsid w:val="007B6C81"/>
    <w:rsid w:val="007B71D3"/>
    <w:rsid w:val="007B7BB7"/>
    <w:rsid w:val="007C6733"/>
    <w:rsid w:val="007C7C3C"/>
    <w:rsid w:val="007D06F6"/>
    <w:rsid w:val="007D1A81"/>
    <w:rsid w:val="007D2E8B"/>
    <w:rsid w:val="007D6692"/>
    <w:rsid w:val="007D7B0E"/>
    <w:rsid w:val="007E0849"/>
    <w:rsid w:val="007E15F6"/>
    <w:rsid w:val="007E237F"/>
    <w:rsid w:val="007E2AE7"/>
    <w:rsid w:val="007E3564"/>
    <w:rsid w:val="007E5153"/>
    <w:rsid w:val="007F0002"/>
    <w:rsid w:val="007F1F2B"/>
    <w:rsid w:val="007F3BBA"/>
    <w:rsid w:val="007F4C52"/>
    <w:rsid w:val="008007BB"/>
    <w:rsid w:val="00803B7A"/>
    <w:rsid w:val="008044C2"/>
    <w:rsid w:val="008050B7"/>
    <w:rsid w:val="0081117A"/>
    <w:rsid w:val="008116AD"/>
    <w:rsid w:val="00811C67"/>
    <w:rsid w:val="00811D44"/>
    <w:rsid w:val="00814B07"/>
    <w:rsid w:val="0081607F"/>
    <w:rsid w:val="0081773D"/>
    <w:rsid w:val="008177E8"/>
    <w:rsid w:val="00821967"/>
    <w:rsid w:val="00822042"/>
    <w:rsid w:val="0082666F"/>
    <w:rsid w:val="00832698"/>
    <w:rsid w:val="00836CCF"/>
    <w:rsid w:val="00841748"/>
    <w:rsid w:val="00845BF5"/>
    <w:rsid w:val="008460C7"/>
    <w:rsid w:val="00847041"/>
    <w:rsid w:val="00851240"/>
    <w:rsid w:val="00851B8F"/>
    <w:rsid w:val="008521A3"/>
    <w:rsid w:val="00853354"/>
    <w:rsid w:val="00855890"/>
    <w:rsid w:val="0085711F"/>
    <w:rsid w:val="00860CA0"/>
    <w:rsid w:val="00862FB9"/>
    <w:rsid w:val="008635EC"/>
    <w:rsid w:val="00865EB7"/>
    <w:rsid w:val="00866F01"/>
    <w:rsid w:val="0087595A"/>
    <w:rsid w:val="008759AC"/>
    <w:rsid w:val="00875BBA"/>
    <w:rsid w:val="008772D0"/>
    <w:rsid w:val="0088229B"/>
    <w:rsid w:val="00882319"/>
    <w:rsid w:val="00883DFE"/>
    <w:rsid w:val="00890CDB"/>
    <w:rsid w:val="00892EBF"/>
    <w:rsid w:val="00893D4F"/>
    <w:rsid w:val="008A29EA"/>
    <w:rsid w:val="008A2DBF"/>
    <w:rsid w:val="008A3129"/>
    <w:rsid w:val="008A639F"/>
    <w:rsid w:val="008B2480"/>
    <w:rsid w:val="008B35AB"/>
    <w:rsid w:val="008B3B6D"/>
    <w:rsid w:val="008B490D"/>
    <w:rsid w:val="008B4AD9"/>
    <w:rsid w:val="008C005F"/>
    <w:rsid w:val="008C0FD0"/>
    <w:rsid w:val="008C1844"/>
    <w:rsid w:val="008C4395"/>
    <w:rsid w:val="008C7978"/>
    <w:rsid w:val="008D3F5C"/>
    <w:rsid w:val="008D77F7"/>
    <w:rsid w:val="008E14FC"/>
    <w:rsid w:val="008E2411"/>
    <w:rsid w:val="008E2FE8"/>
    <w:rsid w:val="008E313C"/>
    <w:rsid w:val="008E57BE"/>
    <w:rsid w:val="008E66B8"/>
    <w:rsid w:val="008E7EAA"/>
    <w:rsid w:val="008F4BA2"/>
    <w:rsid w:val="009003D6"/>
    <w:rsid w:val="00901E8E"/>
    <w:rsid w:val="00903E1F"/>
    <w:rsid w:val="0090441F"/>
    <w:rsid w:val="0090697B"/>
    <w:rsid w:val="00907400"/>
    <w:rsid w:val="00907526"/>
    <w:rsid w:val="00910637"/>
    <w:rsid w:val="00910CFA"/>
    <w:rsid w:val="00910E3A"/>
    <w:rsid w:val="00914A6D"/>
    <w:rsid w:val="00915274"/>
    <w:rsid w:val="0091592B"/>
    <w:rsid w:val="00915AFF"/>
    <w:rsid w:val="00917421"/>
    <w:rsid w:val="00917593"/>
    <w:rsid w:val="00921A50"/>
    <w:rsid w:val="009222C4"/>
    <w:rsid w:val="00922E0B"/>
    <w:rsid w:val="00933A74"/>
    <w:rsid w:val="00933C99"/>
    <w:rsid w:val="0093431C"/>
    <w:rsid w:val="0093456C"/>
    <w:rsid w:val="00935CB6"/>
    <w:rsid w:val="009377B2"/>
    <w:rsid w:val="0094187C"/>
    <w:rsid w:val="00941ADC"/>
    <w:rsid w:val="0094209E"/>
    <w:rsid w:val="00943F8C"/>
    <w:rsid w:val="00944975"/>
    <w:rsid w:val="009464CF"/>
    <w:rsid w:val="00952026"/>
    <w:rsid w:val="00952361"/>
    <w:rsid w:val="0095272C"/>
    <w:rsid w:val="0095305D"/>
    <w:rsid w:val="009543AD"/>
    <w:rsid w:val="00955A59"/>
    <w:rsid w:val="00957FD6"/>
    <w:rsid w:val="00960F96"/>
    <w:rsid w:val="00963B14"/>
    <w:rsid w:val="00973266"/>
    <w:rsid w:val="00975F5F"/>
    <w:rsid w:val="009771CE"/>
    <w:rsid w:val="00977A37"/>
    <w:rsid w:val="00982B38"/>
    <w:rsid w:val="00983550"/>
    <w:rsid w:val="00986A50"/>
    <w:rsid w:val="00987E3F"/>
    <w:rsid w:val="0099113B"/>
    <w:rsid w:val="00991A43"/>
    <w:rsid w:val="00991F07"/>
    <w:rsid w:val="00992DAE"/>
    <w:rsid w:val="009941AA"/>
    <w:rsid w:val="00994572"/>
    <w:rsid w:val="00995E87"/>
    <w:rsid w:val="009966D6"/>
    <w:rsid w:val="009A3C24"/>
    <w:rsid w:val="009A60D8"/>
    <w:rsid w:val="009A6A37"/>
    <w:rsid w:val="009A6E7B"/>
    <w:rsid w:val="009B0641"/>
    <w:rsid w:val="009B0F08"/>
    <w:rsid w:val="009B1149"/>
    <w:rsid w:val="009B6544"/>
    <w:rsid w:val="009C0668"/>
    <w:rsid w:val="009C2398"/>
    <w:rsid w:val="009C2B41"/>
    <w:rsid w:val="009C4202"/>
    <w:rsid w:val="009C47B8"/>
    <w:rsid w:val="009C5B40"/>
    <w:rsid w:val="009D1C93"/>
    <w:rsid w:val="009D4108"/>
    <w:rsid w:val="009D420F"/>
    <w:rsid w:val="009D663C"/>
    <w:rsid w:val="009D6721"/>
    <w:rsid w:val="009E1020"/>
    <w:rsid w:val="009E5DD1"/>
    <w:rsid w:val="009E782F"/>
    <w:rsid w:val="009F5461"/>
    <w:rsid w:val="009F5EC1"/>
    <w:rsid w:val="00A05823"/>
    <w:rsid w:val="00A05C64"/>
    <w:rsid w:val="00A0621D"/>
    <w:rsid w:val="00A10340"/>
    <w:rsid w:val="00A11E52"/>
    <w:rsid w:val="00A13C3C"/>
    <w:rsid w:val="00A154D4"/>
    <w:rsid w:val="00A205A6"/>
    <w:rsid w:val="00A213CA"/>
    <w:rsid w:val="00A226D0"/>
    <w:rsid w:val="00A22ACC"/>
    <w:rsid w:val="00A25C35"/>
    <w:rsid w:val="00A27201"/>
    <w:rsid w:val="00A27A47"/>
    <w:rsid w:val="00A31811"/>
    <w:rsid w:val="00A31E9F"/>
    <w:rsid w:val="00A413FD"/>
    <w:rsid w:val="00A427C4"/>
    <w:rsid w:val="00A430DC"/>
    <w:rsid w:val="00A43A40"/>
    <w:rsid w:val="00A43AB6"/>
    <w:rsid w:val="00A4665D"/>
    <w:rsid w:val="00A4721C"/>
    <w:rsid w:val="00A472B5"/>
    <w:rsid w:val="00A50EBB"/>
    <w:rsid w:val="00A50ED3"/>
    <w:rsid w:val="00A56472"/>
    <w:rsid w:val="00A6162F"/>
    <w:rsid w:val="00A61733"/>
    <w:rsid w:val="00A62501"/>
    <w:rsid w:val="00A62736"/>
    <w:rsid w:val="00A64180"/>
    <w:rsid w:val="00A668C7"/>
    <w:rsid w:val="00A66D67"/>
    <w:rsid w:val="00A710E9"/>
    <w:rsid w:val="00A87F44"/>
    <w:rsid w:val="00A922A0"/>
    <w:rsid w:val="00A93DFD"/>
    <w:rsid w:val="00A9525F"/>
    <w:rsid w:val="00A955C8"/>
    <w:rsid w:val="00A95AF5"/>
    <w:rsid w:val="00A97519"/>
    <w:rsid w:val="00AA298C"/>
    <w:rsid w:val="00AA35D5"/>
    <w:rsid w:val="00AA61B5"/>
    <w:rsid w:val="00AA775C"/>
    <w:rsid w:val="00AA7A7B"/>
    <w:rsid w:val="00AA7B71"/>
    <w:rsid w:val="00AB09EC"/>
    <w:rsid w:val="00AB1DAA"/>
    <w:rsid w:val="00AB3FE7"/>
    <w:rsid w:val="00AC1237"/>
    <w:rsid w:val="00AC214C"/>
    <w:rsid w:val="00AC45C9"/>
    <w:rsid w:val="00AC658A"/>
    <w:rsid w:val="00AC6948"/>
    <w:rsid w:val="00AC7A46"/>
    <w:rsid w:val="00AD16F4"/>
    <w:rsid w:val="00AD2117"/>
    <w:rsid w:val="00AD2CBE"/>
    <w:rsid w:val="00AE0368"/>
    <w:rsid w:val="00AE0A3B"/>
    <w:rsid w:val="00AE0E22"/>
    <w:rsid w:val="00AE1499"/>
    <w:rsid w:val="00AE3DF0"/>
    <w:rsid w:val="00AE4454"/>
    <w:rsid w:val="00AE508E"/>
    <w:rsid w:val="00AE6E95"/>
    <w:rsid w:val="00AF167B"/>
    <w:rsid w:val="00AF4ABD"/>
    <w:rsid w:val="00B01083"/>
    <w:rsid w:val="00B0399C"/>
    <w:rsid w:val="00B03E72"/>
    <w:rsid w:val="00B045A1"/>
    <w:rsid w:val="00B05A1A"/>
    <w:rsid w:val="00B10213"/>
    <w:rsid w:val="00B10367"/>
    <w:rsid w:val="00B13DEF"/>
    <w:rsid w:val="00B141E8"/>
    <w:rsid w:val="00B143DA"/>
    <w:rsid w:val="00B14424"/>
    <w:rsid w:val="00B15F87"/>
    <w:rsid w:val="00B16860"/>
    <w:rsid w:val="00B2091B"/>
    <w:rsid w:val="00B20D01"/>
    <w:rsid w:val="00B2342C"/>
    <w:rsid w:val="00B24052"/>
    <w:rsid w:val="00B26B58"/>
    <w:rsid w:val="00B2769F"/>
    <w:rsid w:val="00B278C1"/>
    <w:rsid w:val="00B3205E"/>
    <w:rsid w:val="00B32F9D"/>
    <w:rsid w:val="00B33690"/>
    <w:rsid w:val="00B34826"/>
    <w:rsid w:val="00B376D5"/>
    <w:rsid w:val="00B40429"/>
    <w:rsid w:val="00B412D8"/>
    <w:rsid w:val="00B4227D"/>
    <w:rsid w:val="00B42339"/>
    <w:rsid w:val="00B44364"/>
    <w:rsid w:val="00B46AF6"/>
    <w:rsid w:val="00B46E11"/>
    <w:rsid w:val="00B4754E"/>
    <w:rsid w:val="00B4769B"/>
    <w:rsid w:val="00B47786"/>
    <w:rsid w:val="00B503C7"/>
    <w:rsid w:val="00B53F8E"/>
    <w:rsid w:val="00B605E8"/>
    <w:rsid w:val="00B60753"/>
    <w:rsid w:val="00B612DF"/>
    <w:rsid w:val="00B672FD"/>
    <w:rsid w:val="00B74E4F"/>
    <w:rsid w:val="00B77B31"/>
    <w:rsid w:val="00B82CB9"/>
    <w:rsid w:val="00B83413"/>
    <w:rsid w:val="00B83AB0"/>
    <w:rsid w:val="00B842FB"/>
    <w:rsid w:val="00B87D79"/>
    <w:rsid w:val="00B90B84"/>
    <w:rsid w:val="00B91767"/>
    <w:rsid w:val="00B9206D"/>
    <w:rsid w:val="00B9530E"/>
    <w:rsid w:val="00BA10B7"/>
    <w:rsid w:val="00BA12DF"/>
    <w:rsid w:val="00BA1BF2"/>
    <w:rsid w:val="00BA54D3"/>
    <w:rsid w:val="00BA7151"/>
    <w:rsid w:val="00BA7F71"/>
    <w:rsid w:val="00BB1424"/>
    <w:rsid w:val="00BB1BB8"/>
    <w:rsid w:val="00BB2117"/>
    <w:rsid w:val="00BB4DDB"/>
    <w:rsid w:val="00BB592B"/>
    <w:rsid w:val="00BB6F28"/>
    <w:rsid w:val="00BC1039"/>
    <w:rsid w:val="00BC26D5"/>
    <w:rsid w:val="00BC2F88"/>
    <w:rsid w:val="00BC378B"/>
    <w:rsid w:val="00BC6C5F"/>
    <w:rsid w:val="00BE117D"/>
    <w:rsid w:val="00BE3858"/>
    <w:rsid w:val="00BE3A7B"/>
    <w:rsid w:val="00BE3BDD"/>
    <w:rsid w:val="00BE3DB2"/>
    <w:rsid w:val="00BE46CA"/>
    <w:rsid w:val="00BE6EDF"/>
    <w:rsid w:val="00BF0CDC"/>
    <w:rsid w:val="00BF17B9"/>
    <w:rsid w:val="00BF1F17"/>
    <w:rsid w:val="00BF58FA"/>
    <w:rsid w:val="00C0510F"/>
    <w:rsid w:val="00C07A58"/>
    <w:rsid w:val="00C101F1"/>
    <w:rsid w:val="00C11607"/>
    <w:rsid w:val="00C12162"/>
    <w:rsid w:val="00C12670"/>
    <w:rsid w:val="00C157CC"/>
    <w:rsid w:val="00C207AA"/>
    <w:rsid w:val="00C24AC1"/>
    <w:rsid w:val="00C267CE"/>
    <w:rsid w:val="00C26FD1"/>
    <w:rsid w:val="00C27F8F"/>
    <w:rsid w:val="00C325F0"/>
    <w:rsid w:val="00C32E29"/>
    <w:rsid w:val="00C32EE3"/>
    <w:rsid w:val="00C33912"/>
    <w:rsid w:val="00C35643"/>
    <w:rsid w:val="00C37172"/>
    <w:rsid w:val="00C377BA"/>
    <w:rsid w:val="00C40B40"/>
    <w:rsid w:val="00C41DBD"/>
    <w:rsid w:val="00C42557"/>
    <w:rsid w:val="00C469E9"/>
    <w:rsid w:val="00C4705A"/>
    <w:rsid w:val="00C478FA"/>
    <w:rsid w:val="00C50AF2"/>
    <w:rsid w:val="00C53FB5"/>
    <w:rsid w:val="00C55AB6"/>
    <w:rsid w:val="00C66247"/>
    <w:rsid w:val="00C66D65"/>
    <w:rsid w:val="00C700AC"/>
    <w:rsid w:val="00C70BD0"/>
    <w:rsid w:val="00C70F4C"/>
    <w:rsid w:val="00C71140"/>
    <w:rsid w:val="00C7228C"/>
    <w:rsid w:val="00C754E8"/>
    <w:rsid w:val="00C775BE"/>
    <w:rsid w:val="00C77E68"/>
    <w:rsid w:val="00C81D7A"/>
    <w:rsid w:val="00C86E02"/>
    <w:rsid w:val="00C91891"/>
    <w:rsid w:val="00C92EFE"/>
    <w:rsid w:val="00C93493"/>
    <w:rsid w:val="00C9462B"/>
    <w:rsid w:val="00C9579D"/>
    <w:rsid w:val="00C968F9"/>
    <w:rsid w:val="00CA0F9D"/>
    <w:rsid w:val="00CA4302"/>
    <w:rsid w:val="00CA71D5"/>
    <w:rsid w:val="00CB2170"/>
    <w:rsid w:val="00CB3995"/>
    <w:rsid w:val="00CB5866"/>
    <w:rsid w:val="00CC1E74"/>
    <w:rsid w:val="00CC32CC"/>
    <w:rsid w:val="00CC3E19"/>
    <w:rsid w:val="00CC45D8"/>
    <w:rsid w:val="00CC59A3"/>
    <w:rsid w:val="00CD001E"/>
    <w:rsid w:val="00CD0C96"/>
    <w:rsid w:val="00CD14A6"/>
    <w:rsid w:val="00CD158C"/>
    <w:rsid w:val="00CD37DE"/>
    <w:rsid w:val="00CD5764"/>
    <w:rsid w:val="00CD64AC"/>
    <w:rsid w:val="00CE10EF"/>
    <w:rsid w:val="00CE5F0D"/>
    <w:rsid w:val="00CE7240"/>
    <w:rsid w:val="00CF16B7"/>
    <w:rsid w:val="00CF391B"/>
    <w:rsid w:val="00CF40A2"/>
    <w:rsid w:val="00CF5BAE"/>
    <w:rsid w:val="00CF5E66"/>
    <w:rsid w:val="00D00705"/>
    <w:rsid w:val="00D02AAB"/>
    <w:rsid w:val="00D04E77"/>
    <w:rsid w:val="00D06307"/>
    <w:rsid w:val="00D06D2A"/>
    <w:rsid w:val="00D075BA"/>
    <w:rsid w:val="00D07CBC"/>
    <w:rsid w:val="00D11402"/>
    <w:rsid w:val="00D117C3"/>
    <w:rsid w:val="00D13335"/>
    <w:rsid w:val="00D16A0D"/>
    <w:rsid w:val="00D25226"/>
    <w:rsid w:val="00D2704A"/>
    <w:rsid w:val="00D330B5"/>
    <w:rsid w:val="00D335CE"/>
    <w:rsid w:val="00D3526D"/>
    <w:rsid w:val="00D36438"/>
    <w:rsid w:val="00D37288"/>
    <w:rsid w:val="00D42EBA"/>
    <w:rsid w:val="00D45F8F"/>
    <w:rsid w:val="00D46AF2"/>
    <w:rsid w:val="00D51319"/>
    <w:rsid w:val="00D52461"/>
    <w:rsid w:val="00D530A9"/>
    <w:rsid w:val="00D56ACE"/>
    <w:rsid w:val="00D56BC0"/>
    <w:rsid w:val="00D630BF"/>
    <w:rsid w:val="00D657D4"/>
    <w:rsid w:val="00D7109D"/>
    <w:rsid w:val="00D71CE1"/>
    <w:rsid w:val="00D73673"/>
    <w:rsid w:val="00D73CBA"/>
    <w:rsid w:val="00D73D84"/>
    <w:rsid w:val="00D779BD"/>
    <w:rsid w:val="00D8028C"/>
    <w:rsid w:val="00D81015"/>
    <w:rsid w:val="00D8484A"/>
    <w:rsid w:val="00D939FE"/>
    <w:rsid w:val="00D93FF6"/>
    <w:rsid w:val="00D94E2D"/>
    <w:rsid w:val="00D94F67"/>
    <w:rsid w:val="00D9685F"/>
    <w:rsid w:val="00DA3A5F"/>
    <w:rsid w:val="00DA4373"/>
    <w:rsid w:val="00DA6348"/>
    <w:rsid w:val="00DB0499"/>
    <w:rsid w:val="00DB3E85"/>
    <w:rsid w:val="00DB4A3B"/>
    <w:rsid w:val="00DB53EF"/>
    <w:rsid w:val="00DB78D4"/>
    <w:rsid w:val="00DC16EE"/>
    <w:rsid w:val="00DC3B80"/>
    <w:rsid w:val="00DC5DAF"/>
    <w:rsid w:val="00DC7742"/>
    <w:rsid w:val="00DD15E3"/>
    <w:rsid w:val="00DD6BE2"/>
    <w:rsid w:val="00DD6E0C"/>
    <w:rsid w:val="00DD78C3"/>
    <w:rsid w:val="00DE0B1B"/>
    <w:rsid w:val="00DE1A5A"/>
    <w:rsid w:val="00DE1BA6"/>
    <w:rsid w:val="00DE251F"/>
    <w:rsid w:val="00DE2CCF"/>
    <w:rsid w:val="00DE3304"/>
    <w:rsid w:val="00DE3BF0"/>
    <w:rsid w:val="00DE4C19"/>
    <w:rsid w:val="00DE6793"/>
    <w:rsid w:val="00DE715C"/>
    <w:rsid w:val="00DF0048"/>
    <w:rsid w:val="00DF0076"/>
    <w:rsid w:val="00DF29C9"/>
    <w:rsid w:val="00DF3D68"/>
    <w:rsid w:val="00DF4942"/>
    <w:rsid w:val="00DF549D"/>
    <w:rsid w:val="00DF6959"/>
    <w:rsid w:val="00DF74C3"/>
    <w:rsid w:val="00E00283"/>
    <w:rsid w:val="00E021B0"/>
    <w:rsid w:val="00E03095"/>
    <w:rsid w:val="00E03B47"/>
    <w:rsid w:val="00E0500B"/>
    <w:rsid w:val="00E05237"/>
    <w:rsid w:val="00E053C0"/>
    <w:rsid w:val="00E063CB"/>
    <w:rsid w:val="00E157D5"/>
    <w:rsid w:val="00E15C54"/>
    <w:rsid w:val="00E16952"/>
    <w:rsid w:val="00E20473"/>
    <w:rsid w:val="00E21305"/>
    <w:rsid w:val="00E22172"/>
    <w:rsid w:val="00E22990"/>
    <w:rsid w:val="00E258D5"/>
    <w:rsid w:val="00E258FB"/>
    <w:rsid w:val="00E300C0"/>
    <w:rsid w:val="00E31168"/>
    <w:rsid w:val="00E32746"/>
    <w:rsid w:val="00E33C7D"/>
    <w:rsid w:val="00E34BD2"/>
    <w:rsid w:val="00E35F83"/>
    <w:rsid w:val="00E37F64"/>
    <w:rsid w:val="00E40DDA"/>
    <w:rsid w:val="00E4729E"/>
    <w:rsid w:val="00E50260"/>
    <w:rsid w:val="00E5154C"/>
    <w:rsid w:val="00E5258F"/>
    <w:rsid w:val="00E534DA"/>
    <w:rsid w:val="00E5583B"/>
    <w:rsid w:val="00E56EAF"/>
    <w:rsid w:val="00E57335"/>
    <w:rsid w:val="00E575C3"/>
    <w:rsid w:val="00E62BA2"/>
    <w:rsid w:val="00E62DBD"/>
    <w:rsid w:val="00E63D7A"/>
    <w:rsid w:val="00E648FB"/>
    <w:rsid w:val="00E64FFB"/>
    <w:rsid w:val="00E65EF2"/>
    <w:rsid w:val="00E666AA"/>
    <w:rsid w:val="00E6674E"/>
    <w:rsid w:val="00E765B1"/>
    <w:rsid w:val="00E7680B"/>
    <w:rsid w:val="00E8070A"/>
    <w:rsid w:val="00E818C1"/>
    <w:rsid w:val="00E81BC6"/>
    <w:rsid w:val="00E849A8"/>
    <w:rsid w:val="00E8688C"/>
    <w:rsid w:val="00E878B8"/>
    <w:rsid w:val="00E87D64"/>
    <w:rsid w:val="00E92B30"/>
    <w:rsid w:val="00E92B46"/>
    <w:rsid w:val="00E92B93"/>
    <w:rsid w:val="00E93572"/>
    <w:rsid w:val="00E94E73"/>
    <w:rsid w:val="00E968E3"/>
    <w:rsid w:val="00E9769A"/>
    <w:rsid w:val="00EA1022"/>
    <w:rsid w:val="00EA12AF"/>
    <w:rsid w:val="00EA1DF8"/>
    <w:rsid w:val="00EA2F1D"/>
    <w:rsid w:val="00EA32F8"/>
    <w:rsid w:val="00EA3302"/>
    <w:rsid w:val="00EA4C9D"/>
    <w:rsid w:val="00EA62A6"/>
    <w:rsid w:val="00EB14D7"/>
    <w:rsid w:val="00EB183B"/>
    <w:rsid w:val="00EB2824"/>
    <w:rsid w:val="00EB3817"/>
    <w:rsid w:val="00EB3CDB"/>
    <w:rsid w:val="00EB4367"/>
    <w:rsid w:val="00EB4654"/>
    <w:rsid w:val="00EB5B9C"/>
    <w:rsid w:val="00EB680E"/>
    <w:rsid w:val="00EC006F"/>
    <w:rsid w:val="00EC08FA"/>
    <w:rsid w:val="00EC0F62"/>
    <w:rsid w:val="00EC1479"/>
    <w:rsid w:val="00EC1DAA"/>
    <w:rsid w:val="00EC2750"/>
    <w:rsid w:val="00ED0CC4"/>
    <w:rsid w:val="00ED0D84"/>
    <w:rsid w:val="00ED1211"/>
    <w:rsid w:val="00ED2ACB"/>
    <w:rsid w:val="00ED36A1"/>
    <w:rsid w:val="00ED5040"/>
    <w:rsid w:val="00ED5387"/>
    <w:rsid w:val="00ED5E06"/>
    <w:rsid w:val="00EE0DB4"/>
    <w:rsid w:val="00EE4F55"/>
    <w:rsid w:val="00EE6782"/>
    <w:rsid w:val="00EE6EB7"/>
    <w:rsid w:val="00EF2C57"/>
    <w:rsid w:val="00EF38D1"/>
    <w:rsid w:val="00EF6491"/>
    <w:rsid w:val="00F01245"/>
    <w:rsid w:val="00F01C27"/>
    <w:rsid w:val="00F022D3"/>
    <w:rsid w:val="00F02714"/>
    <w:rsid w:val="00F046E9"/>
    <w:rsid w:val="00F0520E"/>
    <w:rsid w:val="00F06D7B"/>
    <w:rsid w:val="00F10C28"/>
    <w:rsid w:val="00F12983"/>
    <w:rsid w:val="00F12C07"/>
    <w:rsid w:val="00F2151D"/>
    <w:rsid w:val="00F2315A"/>
    <w:rsid w:val="00F23EE6"/>
    <w:rsid w:val="00F24767"/>
    <w:rsid w:val="00F25FD0"/>
    <w:rsid w:val="00F2732F"/>
    <w:rsid w:val="00F27C10"/>
    <w:rsid w:val="00F30CA5"/>
    <w:rsid w:val="00F3561F"/>
    <w:rsid w:val="00F357E8"/>
    <w:rsid w:val="00F44A28"/>
    <w:rsid w:val="00F47BE0"/>
    <w:rsid w:val="00F526E6"/>
    <w:rsid w:val="00F56661"/>
    <w:rsid w:val="00F56CBF"/>
    <w:rsid w:val="00F647F9"/>
    <w:rsid w:val="00F64BB3"/>
    <w:rsid w:val="00F651A9"/>
    <w:rsid w:val="00F66408"/>
    <w:rsid w:val="00F66963"/>
    <w:rsid w:val="00F70E6F"/>
    <w:rsid w:val="00F71B9C"/>
    <w:rsid w:val="00F73913"/>
    <w:rsid w:val="00F74D32"/>
    <w:rsid w:val="00F757FE"/>
    <w:rsid w:val="00F75B86"/>
    <w:rsid w:val="00F77706"/>
    <w:rsid w:val="00F77F7F"/>
    <w:rsid w:val="00F8069B"/>
    <w:rsid w:val="00F864F3"/>
    <w:rsid w:val="00F87D78"/>
    <w:rsid w:val="00F9019F"/>
    <w:rsid w:val="00F92425"/>
    <w:rsid w:val="00F93875"/>
    <w:rsid w:val="00F94D12"/>
    <w:rsid w:val="00F97B19"/>
    <w:rsid w:val="00F97D25"/>
    <w:rsid w:val="00FA0B87"/>
    <w:rsid w:val="00FA2842"/>
    <w:rsid w:val="00FA28B4"/>
    <w:rsid w:val="00FA30E3"/>
    <w:rsid w:val="00FA3D0B"/>
    <w:rsid w:val="00FA469E"/>
    <w:rsid w:val="00FB5FFE"/>
    <w:rsid w:val="00FB6613"/>
    <w:rsid w:val="00FB73CB"/>
    <w:rsid w:val="00FC1B5A"/>
    <w:rsid w:val="00FC3110"/>
    <w:rsid w:val="00FC404F"/>
    <w:rsid w:val="00FC5CA6"/>
    <w:rsid w:val="00FC60AC"/>
    <w:rsid w:val="00FC66A2"/>
    <w:rsid w:val="00FC6A58"/>
    <w:rsid w:val="00FD3F20"/>
    <w:rsid w:val="00FE2B2F"/>
    <w:rsid w:val="00FE3C1F"/>
    <w:rsid w:val="00FE3C9A"/>
    <w:rsid w:val="00FE40E5"/>
    <w:rsid w:val="00FE47AE"/>
    <w:rsid w:val="00FE5456"/>
    <w:rsid w:val="00FE566B"/>
    <w:rsid w:val="00FF003D"/>
    <w:rsid w:val="00FF2079"/>
    <w:rsid w:val="00FF28EB"/>
    <w:rsid w:val="00FF6787"/>
    <w:rsid w:val="00FF6E3B"/>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35DF"/>
  <w15:docId w15:val="{FF2633B6-177D-4224-8B06-A7F95C5C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CA6"/>
    <w:pPr>
      <w:spacing w:after="0" w:line="48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2342C"/>
    <w:rPr>
      <w:color w:val="0000FF" w:themeColor="hyperlink"/>
      <w:u w:val="single"/>
    </w:rPr>
  </w:style>
  <w:style w:type="paragraph" w:styleId="Fodnotetekst">
    <w:name w:val="footnote text"/>
    <w:basedOn w:val="Normal"/>
    <w:link w:val="FodnotetekstTegn"/>
    <w:uiPriority w:val="99"/>
    <w:semiHidden/>
    <w:unhideWhenUsed/>
    <w:rsid w:val="00B2342C"/>
    <w:pPr>
      <w:spacing w:line="240" w:lineRule="auto"/>
    </w:pPr>
    <w:rPr>
      <w:sz w:val="20"/>
      <w:szCs w:val="20"/>
    </w:rPr>
  </w:style>
  <w:style w:type="character" w:customStyle="1" w:styleId="FodnotetekstTegn">
    <w:name w:val="Fodnotetekst Tegn"/>
    <w:basedOn w:val="Standardskrifttypeiafsnit"/>
    <w:link w:val="Fodnotetekst"/>
    <w:uiPriority w:val="99"/>
    <w:semiHidden/>
    <w:rsid w:val="00B2342C"/>
    <w:rPr>
      <w:sz w:val="20"/>
      <w:szCs w:val="20"/>
    </w:rPr>
  </w:style>
  <w:style w:type="character" w:styleId="Fodnotehenvisning">
    <w:name w:val="footnote reference"/>
    <w:basedOn w:val="Standardskrifttypeiafsnit"/>
    <w:uiPriority w:val="99"/>
    <w:semiHidden/>
    <w:unhideWhenUsed/>
    <w:rsid w:val="00B2342C"/>
    <w:rPr>
      <w:vertAlign w:val="superscript"/>
    </w:rPr>
  </w:style>
  <w:style w:type="paragraph" w:styleId="Bibliografi">
    <w:name w:val="Bibliography"/>
    <w:basedOn w:val="Normal"/>
    <w:next w:val="Normal"/>
    <w:uiPriority w:val="37"/>
    <w:unhideWhenUsed/>
    <w:rsid w:val="00A66D67"/>
    <w:pPr>
      <w:spacing w:line="240" w:lineRule="auto"/>
      <w:ind w:left="720" w:hanging="720"/>
    </w:pPr>
  </w:style>
  <w:style w:type="paragraph" w:styleId="Markeringsbobletekst">
    <w:name w:val="Balloon Text"/>
    <w:basedOn w:val="Normal"/>
    <w:link w:val="MarkeringsbobletekstTegn"/>
    <w:uiPriority w:val="99"/>
    <w:semiHidden/>
    <w:unhideWhenUsed/>
    <w:rsid w:val="00437CA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7CAA"/>
    <w:rPr>
      <w:rFonts w:ascii="Tahoma" w:hAnsi="Tahoma" w:cs="Tahoma"/>
      <w:sz w:val="16"/>
      <w:szCs w:val="16"/>
    </w:rPr>
  </w:style>
  <w:style w:type="table" w:styleId="Tabel-Gitter">
    <w:name w:val="Table Grid"/>
    <w:basedOn w:val="Tabel-Normal"/>
    <w:uiPriority w:val="59"/>
    <w:rsid w:val="0043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37CAA"/>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437CAA"/>
  </w:style>
  <w:style w:type="paragraph" w:styleId="Sidefod">
    <w:name w:val="footer"/>
    <w:basedOn w:val="Normal"/>
    <w:link w:val="SidefodTegn"/>
    <w:uiPriority w:val="99"/>
    <w:unhideWhenUsed/>
    <w:rsid w:val="00437CAA"/>
    <w:pPr>
      <w:tabs>
        <w:tab w:val="center" w:pos="4680"/>
        <w:tab w:val="right" w:pos="9360"/>
      </w:tabs>
      <w:spacing w:line="240" w:lineRule="auto"/>
    </w:pPr>
  </w:style>
  <w:style w:type="character" w:customStyle="1" w:styleId="SidefodTegn">
    <w:name w:val="Sidefod Tegn"/>
    <w:basedOn w:val="Standardskrifttypeiafsnit"/>
    <w:link w:val="Sidefod"/>
    <w:uiPriority w:val="99"/>
    <w:rsid w:val="00437CAA"/>
  </w:style>
  <w:style w:type="character" w:styleId="Slutnotehenvisning">
    <w:name w:val="endnote reference"/>
    <w:basedOn w:val="Standardskrifttypeiafsnit"/>
    <w:uiPriority w:val="99"/>
    <w:semiHidden/>
    <w:unhideWhenUsed/>
    <w:rsid w:val="00EA1DF8"/>
    <w:rPr>
      <w:vertAlign w:val="superscript"/>
    </w:rPr>
  </w:style>
  <w:style w:type="character" w:styleId="Kommentarhenvisning">
    <w:name w:val="annotation reference"/>
    <w:basedOn w:val="Standardskrifttypeiafsnit"/>
    <w:uiPriority w:val="99"/>
    <w:semiHidden/>
    <w:unhideWhenUsed/>
    <w:rsid w:val="00DB53EF"/>
    <w:rPr>
      <w:sz w:val="16"/>
      <w:szCs w:val="16"/>
    </w:rPr>
  </w:style>
  <w:style w:type="paragraph" w:styleId="Kommentartekst">
    <w:name w:val="annotation text"/>
    <w:basedOn w:val="Normal"/>
    <w:link w:val="KommentartekstTegn"/>
    <w:uiPriority w:val="99"/>
    <w:semiHidden/>
    <w:unhideWhenUsed/>
    <w:rsid w:val="00DB53E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B53EF"/>
    <w:rPr>
      <w:sz w:val="20"/>
      <w:szCs w:val="20"/>
    </w:rPr>
  </w:style>
  <w:style w:type="paragraph" w:styleId="Kommentaremne">
    <w:name w:val="annotation subject"/>
    <w:basedOn w:val="Kommentartekst"/>
    <w:next w:val="Kommentartekst"/>
    <w:link w:val="KommentaremneTegn"/>
    <w:uiPriority w:val="99"/>
    <w:semiHidden/>
    <w:unhideWhenUsed/>
    <w:rsid w:val="00DB53EF"/>
    <w:rPr>
      <w:b/>
      <w:bCs/>
    </w:rPr>
  </w:style>
  <w:style w:type="character" w:customStyle="1" w:styleId="KommentaremneTegn">
    <w:name w:val="Kommentaremne Tegn"/>
    <w:basedOn w:val="KommentartekstTegn"/>
    <w:link w:val="Kommentaremne"/>
    <w:uiPriority w:val="99"/>
    <w:semiHidden/>
    <w:rsid w:val="00DB53EF"/>
    <w:rPr>
      <w:b/>
      <w:bCs/>
      <w:sz w:val="20"/>
      <w:szCs w:val="20"/>
    </w:rPr>
  </w:style>
  <w:style w:type="character" w:styleId="BesgtLink">
    <w:name w:val="FollowedHyperlink"/>
    <w:basedOn w:val="Standardskrifttypeiafsnit"/>
    <w:uiPriority w:val="99"/>
    <w:semiHidden/>
    <w:unhideWhenUsed/>
    <w:rsid w:val="0087595A"/>
    <w:rPr>
      <w:color w:val="800080" w:themeColor="followedHyperlink"/>
      <w:u w:val="single"/>
    </w:rPr>
  </w:style>
  <w:style w:type="paragraph" w:styleId="Slutnotetekst">
    <w:name w:val="endnote text"/>
    <w:basedOn w:val="Normal"/>
    <w:link w:val="SlutnotetekstTegn"/>
    <w:uiPriority w:val="99"/>
    <w:semiHidden/>
    <w:unhideWhenUsed/>
    <w:rsid w:val="002F76B3"/>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2F76B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649">
      <w:bodyDiv w:val="1"/>
      <w:marLeft w:val="0"/>
      <w:marRight w:val="0"/>
      <w:marTop w:val="0"/>
      <w:marBottom w:val="0"/>
      <w:divBdr>
        <w:top w:val="none" w:sz="0" w:space="0" w:color="auto"/>
        <w:left w:val="none" w:sz="0" w:space="0" w:color="auto"/>
        <w:bottom w:val="none" w:sz="0" w:space="0" w:color="auto"/>
        <w:right w:val="none" w:sz="0" w:space="0" w:color="auto"/>
      </w:divBdr>
    </w:div>
    <w:div w:id="220100267">
      <w:bodyDiv w:val="1"/>
      <w:marLeft w:val="0"/>
      <w:marRight w:val="0"/>
      <w:marTop w:val="0"/>
      <w:marBottom w:val="0"/>
      <w:divBdr>
        <w:top w:val="none" w:sz="0" w:space="0" w:color="auto"/>
        <w:left w:val="none" w:sz="0" w:space="0" w:color="auto"/>
        <w:bottom w:val="none" w:sz="0" w:space="0" w:color="auto"/>
        <w:right w:val="none" w:sz="0" w:space="0" w:color="auto"/>
      </w:divBdr>
    </w:div>
    <w:div w:id="454755993">
      <w:bodyDiv w:val="1"/>
      <w:marLeft w:val="0"/>
      <w:marRight w:val="0"/>
      <w:marTop w:val="0"/>
      <w:marBottom w:val="0"/>
      <w:divBdr>
        <w:top w:val="none" w:sz="0" w:space="0" w:color="auto"/>
        <w:left w:val="none" w:sz="0" w:space="0" w:color="auto"/>
        <w:bottom w:val="none" w:sz="0" w:space="0" w:color="auto"/>
        <w:right w:val="none" w:sz="0" w:space="0" w:color="auto"/>
      </w:divBdr>
    </w:div>
    <w:div w:id="501168344">
      <w:bodyDiv w:val="1"/>
      <w:marLeft w:val="0"/>
      <w:marRight w:val="0"/>
      <w:marTop w:val="0"/>
      <w:marBottom w:val="0"/>
      <w:divBdr>
        <w:top w:val="none" w:sz="0" w:space="0" w:color="auto"/>
        <w:left w:val="none" w:sz="0" w:space="0" w:color="auto"/>
        <w:bottom w:val="none" w:sz="0" w:space="0" w:color="auto"/>
        <w:right w:val="none" w:sz="0" w:space="0" w:color="auto"/>
      </w:divBdr>
    </w:div>
    <w:div w:id="659888891">
      <w:bodyDiv w:val="1"/>
      <w:marLeft w:val="0"/>
      <w:marRight w:val="0"/>
      <w:marTop w:val="0"/>
      <w:marBottom w:val="0"/>
      <w:divBdr>
        <w:top w:val="none" w:sz="0" w:space="0" w:color="auto"/>
        <w:left w:val="none" w:sz="0" w:space="0" w:color="auto"/>
        <w:bottom w:val="none" w:sz="0" w:space="0" w:color="auto"/>
        <w:right w:val="none" w:sz="0" w:space="0" w:color="auto"/>
      </w:divBdr>
    </w:div>
    <w:div w:id="775177359">
      <w:bodyDiv w:val="1"/>
      <w:marLeft w:val="0"/>
      <w:marRight w:val="0"/>
      <w:marTop w:val="0"/>
      <w:marBottom w:val="0"/>
      <w:divBdr>
        <w:top w:val="none" w:sz="0" w:space="0" w:color="auto"/>
        <w:left w:val="none" w:sz="0" w:space="0" w:color="auto"/>
        <w:bottom w:val="none" w:sz="0" w:space="0" w:color="auto"/>
        <w:right w:val="none" w:sz="0" w:space="0" w:color="auto"/>
      </w:divBdr>
    </w:div>
    <w:div w:id="1028139852">
      <w:bodyDiv w:val="1"/>
      <w:marLeft w:val="0"/>
      <w:marRight w:val="0"/>
      <w:marTop w:val="0"/>
      <w:marBottom w:val="0"/>
      <w:divBdr>
        <w:top w:val="none" w:sz="0" w:space="0" w:color="auto"/>
        <w:left w:val="none" w:sz="0" w:space="0" w:color="auto"/>
        <w:bottom w:val="none" w:sz="0" w:space="0" w:color="auto"/>
        <w:right w:val="none" w:sz="0" w:space="0" w:color="auto"/>
      </w:divBdr>
    </w:div>
    <w:div w:id="1120806887">
      <w:bodyDiv w:val="1"/>
      <w:marLeft w:val="0"/>
      <w:marRight w:val="0"/>
      <w:marTop w:val="0"/>
      <w:marBottom w:val="0"/>
      <w:divBdr>
        <w:top w:val="none" w:sz="0" w:space="0" w:color="auto"/>
        <w:left w:val="none" w:sz="0" w:space="0" w:color="auto"/>
        <w:bottom w:val="none" w:sz="0" w:space="0" w:color="auto"/>
        <w:right w:val="none" w:sz="0" w:space="0" w:color="auto"/>
      </w:divBdr>
    </w:div>
    <w:div w:id="1514107934">
      <w:bodyDiv w:val="1"/>
      <w:marLeft w:val="0"/>
      <w:marRight w:val="0"/>
      <w:marTop w:val="0"/>
      <w:marBottom w:val="0"/>
      <w:divBdr>
        <w:top w:val="none" w:sz="0" w:space="0" w:color="auto"/>
        <w:left w:val="none" w:sz="0" w:space="0" w:color="auto"/>
        <w:bottom w:val="none" w:sz="0" w:space="0" w:color="auto"/>
        <w:right w:val="none" w:sz="0" w:space="0" w:color="auto"/>
      </w:divBdr>
    </w:div>
    <w:div w:id="1715887712">
      <w:bodyDiv w:val="1"/>
      <w:marLeft w:val="0"/>
      <w:marRight w:val="0"/>
      <w:marTop w:val="0"/>
      <w:marBottom w:val="0"/>
      <w:divBdr>
        <w:top w:val="none" w:sz="0" w:space="0" w:color="auto"/>
        <w:left w:val="none" w:sz="0" w:space="0" w:color="auto"/>
        <w:bottom w:val="none" w:sz="0" w:space="0" w:color="auto"/>
        <w:right w:val="none" w:sz="0" w:space="0" w:color="auto"/>
      </w:divBdr>
    </w:div>
    <w:div w:id="1831403793">
      <w:bodyDiv w:val="1"/>
      <w:marLeft w:val="0"/>
      <w:marRight w:val="0"/>
      <w:marTop w:val="0"/>
      <w:marBottom w:val="0"/>
      <w:divBdr>
        <w:top w:val="none" w:sz="0" w:space="0" w:color="auto"/>
        <w:left w:val="none" w:sz="0" w:space="0" w:color="auto"/>
        <w:bottom w:val="none" w:sz="0" w:space="0" w:color="auto"/>
        <w:right w:val="none" w:sz="0" w:space="0" w:color="auto"/>
      </w:divBdr>
    </w:div>
    <w:div w:id="2035689400">
      <w:bodyDiv w:val="1"/>
      <w:marLeft w:val="0"/>
      <w:marRight w:val="0"/>
      <w:marTop w:val="0"/>
      <w:marBottom w:val="0"/>
      <w:divBdr>
        <w:top w:val="none" w:sz="0" w:space="0" w:color="auto"/>
        <w:left w:val="none" w:sz="0" w:space="0" w:color="auto"/>
        <w:bottom w:val="none" w:sz="0" w:space="0" w:color="auto"/>
        <w:right w:val="none" w:sz="0" w:space="0" w:color="auto"/>
      </w:divBdr>
    </w:div>
    <w:div w:id="21042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seeberg@ps.au.dk"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C18E-CEBD-47CD-85DE-2F83ABEA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49</Pages>
  <Words>17999</Words>
  <Characters>109794</Characters>
  <Application>Microsoft Office Word</Application>
  <DocSecurity>0</DocSecurity>
  <Lines>914</Lines>
  <Paragraphs>255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 and Social Science</Company>
  <LinksUpToDate>false</LinksUpToDate>
  <CharactersWithSpaces>127538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Seeberg</dc:creator>
  <cp:lastModifiedBy>Henrik Bech Seeberg</cp:lastModifiedBy>
  <cp:revision>27</cp:revision>
  <cp:lastPrinted>2015-10-02T12:42:00Z</cp:lastPrinted>
  <dcterms:created xsi:type="dcterms:W3CDTF">2015-12-11T08:42:00Z</dcterms:created>
  <dcterms:modified xsi:type="dcterms:W3CDTF">2019-12-26T09:02:00Z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id="WigvbIAo"/&gt;&lt;style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