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E2D1" w14:textId="77777777" w:rsidR="005A6BCD" w:rsidRPr="00050DEF" w:rsidRDefault="00024A32" w:rsidP="00633FCF">
      <w:pPr>
        <w:spacing w:after="0" w:line="480" w:lineRule="auto"/>
        <w:jc w:val="center"/>
        <w:rPr>
          <w:rFonts w:ascii="Times New Roman" w:hAnsi="Times New Roman" w:cs="Times New Roman"/>
          <w:b/>
          <w:sz w:val="24"/>
          <w:szCs w:val="24"/>
          <w:lang w:val="en-GB"/>
        </w:rPr>
      </w:pPr>
      <w:bookmarkStart w:id="0" w:name="_GoBack"/>
      <w:bookmarkEnd w:id="0"/>
      <w:r w:rsidRPr="00050DEF">
        <w:rPr>
          <w:rFonts w:ascii="Times New Roman" w:hAnsi="Times New Roman" w:cs="Times New Roman"/>
          <w:b/>
          <w:sz w:val="24"/>
          <w:szCs w:val="24"/>
          <w:lang w:val="en-GB"/>
        </w:rPr>
        <w:t xml:space="preserve">On the enemy’s turf: Exploring the link between macro- and micro-framing in </w:t>
      </w:r>
      <w:r w:rsidR="001031D0" w:rsidRPr="00050DEF">
        <w:rPr>
          <w:rFonts w:ascii="Times New Roman" w:hAnsi="Times New Roman" w:cs="Times New Roman"/>
          <w:b/>
          <w:sz w:val="24"/>
          <w:szCs w:val="24"/>
          <w:lang w:val="en-GB"/>
        </w:rPr>
        <w:t xml:space="preserve">interest </w:t>
      </w:r>
      <w:r w:rsidR="0067686E" w:rsidRPr="00050DEF">
        <w:rPr>
          <w:rFonts w:ascii="Times New Roman" w:hAnsi="Times New Roman" w:cs="Times New Roman"/>
          <w:b/>
          <w:sz w:val="24"/>
          <w:szCs w:val="24"/>
          <w:lang w:val="en-GB"/>
        </w:rPr>
        <w:t>group</w:t>
      </w:r>
      <w:r w:rsidR="001031D0" w:rsidRPr="00050DEF">
        <w:rPr>
          <w:rFonts w:ascii="Times New Roman" w:hAnsi="Times New Roman" w:cs="Times New Roman"/>
          <w:b/>
          <w:sz w:val="24"/>
          <w:szCs w:val="24"/>
          <w:lang w:val="en-GB"/>
        </w:rPr>
        <w:t xml:space="preserve"> </w:t>
      </w:r>
      <w:r w:rsidR="0067686E" w:rsidRPr="00050DEF">
        <w:rPr>
          <w:rFonts w:ascii="Times New Roman" w:hAnsi="Times New Roman" w:cs="Times New Roman"/>
          <w:b/>
          <w:sz w:val="24"/>
          <w:szCs w:val="24"/>
          <w:lang w:val="en-GB"/>
        </w:rPr>
        <w:t>communication</w:t>
      </w:r>
    </w:p>
    <w:p w14:paraId="274C655B" w14:textId="77777777" w:rsidR="009E63AA" w:rsidRPr="00FA003C" w:rsidRDefault="009E63AA" w:rsidP="009E63AA">
      <w:pPr>
        <w:spacing w:after="0" w:line="480" w:lineRule="auto"/>
        <w:jc w:val="center"/>
        <w:rPr>
          <w:rFonts w:ascii="Times New Roman" w:hAnsi="Times New Roman" w:cs="Times New Roman"/>
          <w:i/>
          <w:sz w:val="24"/>
          <w:szCs w:val="24"/>
        </w:rPr>
      </w:pPr>
    </w:p>
    <w:p w14:paraId="5B90DA06" w14:textId="50BE03DA" w:rsidR="003E79B4" w:rsidRPr="00FA003C" w:rsidRDefault="009E63AA" w:rsidP="003E79B4">
      <w:pPr>
        <w:spacing w:after="0" w:line="480" w:lineRule="auto"/>
        <w:jc w:val="center"/>
        <w:rPr>
          <w:rFonts w:ascii="Times New Roman" w:hAnsi="Times New Roman" w:cs="Times New Roman"/>
          <w:i/>
          <w:sz w:val="24"/>
          <w:szCs w:val="24"/>
        </w:rPr>
      </w:pPr>
      <w:r w:rsidRPr="00FA003C">
        <w:rPr>
          <w:rFonts w:ascii="Times New Roman" w:hAnsi="Times New Roman" w:cs="Times New Roman"/>
          <w:i/>
          <w:sz w:val="24"/>
          <w:szCs w:val="24"/>
        </w:rPr>
        <w:t>Carsten Jensen</w:t>
      </w:r>
    </w:p>
    <w:p w14:paraId="0FA2537D" w14:textId="6305061D" w:rsidR="009E63AA" w:rsidRDefault="009E63AA" w:rsidP="009E63AA">
      <w:pPr>
        <w:spacing w:after="0" w:line="480" w:lineRule="auto"/>
        <w:jc w:val="center"/>
        <w:rPr>
          <w:rFonts w:ascii="Times New Roman" w:hAnsi="Times New Roman" w:cs="Times New Roman"/>
          <w:i/>
          <w:sz w:val="24"/>
          <w:szCs w:val="24"/>
        </w:rPr>
      </w:pPr>
      <w:r w:rsidRPr="00113898">
        <w:rPr>
          <w:rFonts w:ascii="Times New Roman" w:hAnsi="Times New Roman" w:cs="Times New Roman"/>
          <w:i/>
          <w:sz w:val="24"/>
          <w:szCs w:val="24"/>
        </w:rPr>
        <w:t>Henrik Bech Seeberg</w:t>
      </w:r>
    </w:p>
    <w:p w14:paraId="1011971B" w14:textId="1CC68B46" w:rsidR="003E79B4" w:rsidRDefault="003E79B4" w:rsidP="009E63AA">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Department of Political Science, </w:t>
      </w:r>
    </w:p>
    <w:p w14:paraId="07D9CAF5" w14:textId="19C8BB8E" w:rsidR="003E79B4" w:rsidRDefault="003E79B4" w:rsidP="009E63AA">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Aarhus University</w:t>
      </w:r>
    </w:p>
    <w:p w14:paraId="44CFE797" w14:textId="5B72F738" w:rsidR="003E79B4" w:rsidRDefault="003E79B4" w:rsidP="009E63AA">
      <w:pPr>
        <w:spacing w:after="0" w:line="480" w:lineRule="auto"/>
        <w:jc w:val="center"/>
        <w:rPr>
          <w:rFonts w:ascii="Times New Roman" w:hAnsi="Times New Roman" w:cs="Times New Roman"/>
          <w:i/>
          <w:sz w:val="24"/>
          <w:szCs w:val="24"/>
        </w:rPr>
      </w:pPr>
    </w:p>
    <w:p w14:paraId="64831295" w14:textId="1A6F2363" w:rsidR="003E79B4" w:rsidRPr="00113898" w:rsidRDefault="003E79B4" w:rsidP="009E63AA">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Accepted for publication in Journal of European Public Policy (August 2019)</w:t>
      </w:r>
    </w:p>
    <w:p w14:paraId="79981AE7" w14:textId="77777777" w:rsidR="001031D0" w:rsidRPr="00050DEF" w:rsidRDefault="001031D0" w:rsidP="00633FCF">
      <w:pPr>
        <w:spacing w:after="0" w:line="480" w:lineRule="auto"/>
        <w:jc w:val="center"/>
        <w:rPr>
          <w:rFonts w:ascii="Times New Roman" w:hAnsi="Times New Roman" w:cs="Times New Roman"/>
          <w:b/>
          <w:sz w:val="24"/>
          <w:szCs w:val="24"/>
          <w:lang w:val="en-GB"/>
        </w:rPr>
      </w:pPr>
    </w:p>
    <w:p w14:paraId="5B4D0BD9" w14:textId="795F633E" w:rsidR="005F16FF" w:rsidRPr="00050DEF" w:rsidRDefault="005F16FF" w:rsidP="00AB3448">
      <w:pPr>
        <w:spacing w:after="0" w:line="480" w:lineRule="auto"/>
        <w:rPr>
          <w:rFonts w:ascii="Times New Roman" w:hAnsi="Times New Roman" w:cs="Times New Roman"/>
          <w:b/>
          <w:sz w:val="24"/>
          <w:szCs w:val="24"/>
          <w:lang w:val="en-GB"/>
        </w:rPr>
      </w:pPr>
      <w:r w:rsidRPr="00050DEF">
        <w:rPr>
          <w:rFonts w:ascii="Times New Roman" w:hAnsi="Times New Roman" w:cs="Times New Roman"/>
          <w:b/>
          <w:sz w:val="24"/>
          <w:szCs w:val="24"/>
          <w:lang w:val="en-GB"/>
        </w:rPr>
        <w:t>Abstract</w:t>
      </w:r>
      <w:r w:rsidRPr="00050DEF">
        <w:rPr>
          <w:rFonts w:ascii="Times New Roman" w:hAnsi="Times New Roman" w:cs="Times New Roman"/>
          <w:sz w:val="24"/>
          <w:szCs w:val="24"/>
          <w:lang w:val="en-GB"/>
        </w:rPr>
        <w:t>.</w:t>
      </w:r>
      <w:r w:rsidR="007964F1" w:rsidRPr="00050DEF">
        <w:rPr>
          <w:rFonts w:ascii="Times New Roman" w:hAnsi="Times New Roman" w:cs="Times New Roman"/>
          <w:sz w:val="24"/>
          <w:szCs w:val="24"/>
          <w:lang w:val="en-GB"/>
        </w:rPr>
        <w:t xml:space="preserve"> </w:t>
      </w:r>
      <w:r w:rsidR="00ED574B" w:rsidRPr="00050DEF">
        <w:rPr>
          <w:rFonts w:ascii="Times New Roman" w:hAnsi="Times New Roman" w:cs="Times New Roman"/>
          <w:sz w:val="24"/>
          <w:szCs w:val="24"/>
          <w:lang w:val="en-GB"/>
        </w:rPr>
        <w:t>A</w:t>
      </w:r>
      <w:r w:rsidR="007964F1" w:rsidRPr="00050DEF">
        <w:rPr>
          <w:rFonts w:ascii="Times New Roman" w:hAnsi="Times New Roman" w:cs="Times New Roman"/>
          <w:sz w:val="24"/>
          <w:szCs w:val="24"/>
          <w:lang w:val="en-GB"/>
        </w:rPr>
        <w:t xml:space="preserve"> key strategy of interest groups to influence policy-making</w:t>
      </w:r>
      <w:r w:rsidR="00ED574B" w:rsidRPr="00050DEF">
        <w:rPr>
          <w:rFonts w:ascii="Times New Roman" w:hAnsi="Times New Roman" w:cs="Times New Roman"/>
          <w:sz w:val="24"/>
          <w:szCs w:val="24"/>
          <w:lang w:val="en-GB"/>
        </w:rPr>
        <w:t xml:space="preserve"> is to frame </w:t>
      </w:r>
      <w:r w:rsidR="005E7F4E" w:rsidRPr="00050DEF">
        <w:rPr>
          <w:rFonts w:ascii="Times New Roman" w:hAnsi="Times New Roman" w:cs="Times New Roman"/>
          <w:sz w:val="24"/>
          <w:szCs w:val="24"/>
          <w:lang w:val="en-GB"/>
        </w:rPr>
        <w:t xml:space="preserve">the </w:t>
      </w:r>
      <w:r w:rsidR="00ED574B" w:rsidRPr="00050DEF">
        <w:rPr>
          <w:rFonts w:ascii="Times New Roman" w:hAnsi="Times New Roman" w:cs="Times New Roman"/>
          <w:sz w:val="24"/>
          <w:szCs w:val="24"/>
          <w:lang w:val="en-GB"/>
        </w:rPr>
        <w:t>policy issue</w:t>
      </w:r>
      <w:r w:rsidR="00542695" w:rsidRPr="00050DEF">
        <w:rPr>
          <w:rFonts w:ascii="Times New Roman" w:hAnsi="Times New Roman" w:cs="Times New Roman"/>
          <w:sz w:val="24"/>
          <w:szCs w:val="24"/>
          <w:lang w:val="en-GB"/>
        </w:rPr>
        <w:t xml:space="preserve">, </w:t>
      </w:r>
      <w:r w:rsidR="009F5E17">
        <w:rPr>
          <w:rFonts w:ascii="Times New Roman" w:hAnsi="Times New Roman" w:cs="Times New Roman"/>
          <w:sz w:val="24"/>
          <w:szCs w:val="24"/>
          <w:lang w:val="en-GB"/>
        </w:rPr>
        <w:t>that is,</w:t>
      </w:r>
      <w:r w:rsidR="00542695" w:rsidRPr="00050DEF">
        <w:rPr>
          <w:rFonts w:ascii="Times New Roman" w:hAnsi="Times New Roman" w:cs="Times New Roman"/>
          <w:sz w:val="24"/>
          <w:szCs w:val="24"/>
          <w:lang w:val="en-GB"/>
        </w:rPr>
        <w:t xml:space="preserve"> influence how </w:t>
      </w:r>
      <w:r w:rsidR="005E7F4E" w:rsidRPr="00050DEF">
        <w:rPr>
          <w:rFonts w:ascii="Times New Roman" w:hAnsi="Times New Roman" w:cs="Times New Roman"/>
          <w:sz w:val="24"/>
          <w:szCs w:val="24"/>
          <w:lang w:val="en-GB"/>
        </w:rPr>
        <w:t>the</w:t>
      </w:r>
      <w:r w:rsidR="00542695" w:rsidRPr="00050DEF">
        <w:rPr>
          <w:rFonts w:ascii="Times New Roman" w:hAnsi="Times New Roman" w:cs="Times New Roman"/>
          <w:sz w:val="24"/>
          <w:szCs w:val="24"/>
          <w:lang w:val="en-GB"/>
        </w:rPr>
        <w:t xml:space="preserve"> issue is understood collectively by policy-makers and the public</w:t>
      </w:r>
      <w:r w:rsidR="007964F1" w:rsidRPr="00050DEF">
        <w:rPr>
          <w:rFonts w:ascii="Times New Roman" w:hAnsi="Times New Roman" w:cs="Times New Roman"/>
          <w:sz w:val="24"/>
          <w:szCs w:val="24"/>
          <w:lang w:val="en-GB"/>
        </w:rPr>
        <w:t xml:space="preserve">. </w:t>
      </w:r>
      <w:r w:rsidR="00032341" w:rsidRPr="00050DEF">
        <w:rPr>
          <w:rFonts w:ascii="Times New Roman" w:hAnsi="Times New Roman" w:cs="Times New Roman"/>
          <w:sz w:val="24"/>
          <w:szCs w:val="24"/>
          <w:lang w:val="en-GB"/>
        </w:rPr>
        <w:t>Hence, s</w:t>
      </w:r>
      <w:r w:rsidR="007964F1" w:rsidRPr="00050DEF">
        <w:rPr>
          <w:rFonts w:ascii="Times New Roman" w:hAnsi="Times New Roman" w:cs="Times New Roman"/>
          <w:sz w:val="24"/>
          <w:szCs w:val="24"/>
          <w:lang w:val="en-GB"/>
        </w:rPr>
        <w:t xml:space="preserve">cholarly interest in how interest groups’ micro-framing of an issue influences and is influenced by the macro-frame, </w:t>
      </w:r>
      <w:r w:rsidR="009F5E17">
        <w:rPr>
          <w:rFonts w:ascii="Times New Roman" w:hAnsi="Times New Roman" w:cs="Times New Roman"/>
          <w:sz w:val="24"/>
          <w:szCs w:val="24"/>
          <w:lang w:val="en-GB"/>
        </w:rPr>
        <w:t>that is,</w:t>
      </w:r>
      <w:r w:rsidR="007964F1" w:rsidRPr="00050DEF">
        <w:rPr>
          <w:rFonts w:ascii="Times New Roman" w:hAnsi="Times New Roman" w:cs="Times New Roman"/>
          <w:sz w:val="24"/>
          <w:szCs w:val="24"/>
          <w:lang w:val="en-GB"/>
        </w:rPr>
        <w:t xml:space="preserve"> the current collective understanding of the issue, is </w:t>
      </w:r>
      <w:r w:rsidR="00DC0CC1" w:rsidRPr="00050DEF">
        <w:rPr>
          <w:rFonts w:ascii="Times New Roman" w:hAnsi="Times New Roman" w:cs="Times New Roman"/>
          <w:sz w:val="24"/>
          <w:szCs w:val="24"/>
          <w:lang w:val="en-GB"/>
        </w:rPr>
        <w:t xml:space="preserve">growing </w:t>
      </w:r>
      <w:r w:rsidR="007964F1" w:rsidRPr="00050DEF">
        <w:rPr>
          <w:rFonts w:ascii="Times New Roman" w:hAnsi="Times New Roman" w:cs="Times New Roman"/>
          <w:sz w:val="24"/>
          <w:szCs w:val="24"/>
          <w:lang w:val="en-GB"/>
        </w:rPr>
        <w:t>rapidly.</w:t>
      </w:r>
      <w:r w:rsidR="001228F1" w:rsidRPr="00050DEF">
        <w:rPr>
          <w:rFonts w:ascii="Times New Roman" w:hAnsi="Times New Roman" w:cs="Times New Roman"/>
          <w:sz w:val="24"/>
          <w:szCs w:val="24"/>
          <w:lang w:val="en-GB"/>
        </w:rPr>
        <w:t xml:space="preserve"> </w:t>
      </w:r>
      <w:r w:rsidR="00483225" w:rsidRPr="00050DEF">
        <w:rPr>
          <w:rFonts w:ascii="Times New Roman" w:hAnsi="Times New Roman" w:cs="Times New Roman"/>
          <w:sz w:val="24"/>
          <w:szCs w:val="24"/>
          <w:lang w:val="en-GB"/>
        </w:rPr>
        <w:t xml:space="preserve">To provide </w:t>
      </w:r>
      <w:r w:rsidR="00ED574B" w:rsidRPr="00050DEF">
        <w:rPr>
          <w:rFonts w:ascii="Times New Roman" w:hAnsi="Times New Roman" w:cs="Times New Roman"/>
          <w:sz w:val="24"/>
          <w:szCs w:val="24"/>
          <w:lang w:val="en-GB"/>
        </w:rPr>
        <w:t>a</w:t>
      </w:r>
      <w:r w:rsidR="00483225" w:rsidRPr="00050DEF">
        <w:rPr>
          <w:rFonts w:ascii="Times New Roman" w:hAnsi="Times New Roman" w:cs="Times New Roman"/>
          <w:sz w:val="24"/>
          <w:szCs w:val="24"/>
          <w:lang w:val="en-GB"/>
        </w:rPr>
        <w:t xml:space="preserve"> </w:t>
      </w:r>
      <w:r w:rsidR="001228F1" w:rsidRPr="00050DEF">
        <w:rPr>
          <w:rFonts w:ascii="Times New Roman" w:hAnsi="Times New Roman" w:cs="Times New Roman"/>
          <w:sz w:val="24"/>
          <w:szCs w:val="24"/>
          <w:lang w:val="en-GB"/>
        </w:rPr>
        <w:t>starting poi</w:t>
      </w:r>
      <w:r w:rsidR="00483225" w:rsidRPr="00050DEF">
        <w:rPr>
          <w:rFonts w:ascii="Times New Roman" w:hAnsi="Times New Roman" w:cs="Times New Roman"/>
          <w:sz w:val="24"/>
          <w:szCs w:val="24"/>
          <w:lang w:val="en-GB"/>
        </w:rPr>
        <w:t xml:space="preserve">nt for more systematic analysis, this paper </w:t>
      </w:r>
      <w:r w:rsidR="007B4BD1" w:rsidRPr="00050DEF">
        <w:rPr>
          <w:rFonts w:ascii="Times New Roman" w:hAnsi="Times New Roman" w:cs="Times New Roman"/>
          <w:sz w:val="24"/>
          <w:szCs w:val="24"/>
          <w:lang w:val="en-GB"/>
        </w:rPr>
        <w:t>develops</w:t>
      </w:r>
      <w:r w:rsidR="00483225" w:rsidRPr="00050DEF">
        <w:rPr>
          <w:rFonts w:ascii="Times New Roman" w:hAnsi="Times New Roman" w:cs="Times New Roman"/>
          <w:sz w:val="24"/>
          <w:szCs w:val="24"/>
          <w:lang w:val="en-GB"/>
        </w:rPr>
        <w:t xml:space="preserve"> a typology of micro-framing strategies</w:t>
      </w:r>
      <w:r w:rsidR="006B6796" w:rsidRPr="00050DEF">
        <w:rPr>
          <w:rFonts w:ascii="Times New Roman" w:hAnsi="Times New Roman" w:cs="Times New Roman"/>
          <w:sz w:val="24"/>
          <w:szCs w:val="24"/>
          <w:lang w:val="en-GB"/>
        </w:rPr>
        <w:t xml:space="preserve"> </w:t>
      </w:r>
      <w:r w:rsidR="00DC0CC1" w:rsidRPr="00050DEF">
        <w:rPr>
          <w:rFonts w:ascii="Times New Roman" w:hAnsi="Times New Roman" w:cs="Times New Roman"/>
          <w:sz w:val="24"/>
          <w:szCs w:val="24"/>
          <w:lang w:val="en-GB"/>
        </w:rPr>
        <w:t>that</w:t>
      </w:r>
      <w:r w:rsidR="006B6796" w:rsidRPr="00050DEF">
        <w:rPr>
          <w:rFonts w:ascii="Times New Roman" w:hAnsi="Times New Roman" w:cs="Times New Roman"/>
          <w:sz w:val="24"/>
          <w:szCs w:val="24"/>
          <w:lang w:val="en-GB"/>
        </w:rPr>
        <w:t xml:space="preserve"> a</w:t>
      </w:r>
      <w:r w:rsidR="007B4BD1" w:rsidRPr="00050DEF">
        <w:rPr>
          <w:rFonts w:ascii="Times New Roman" w:hAnsi="Times New Roman" w:cs="Times New Roman"/>
          <w:sz w:val="24"/>
          <w:szCs w:val="24"/>
          <w:lang w:val="en-GB"/>
        </w:rPr>
        <w:t xml:space="preserve">n </w:t>
      </w:r>
      <w:r w:rsidR="00483225" w:rsidRPr="00050DEF">
        <w:rPr>
          <w:rFonts w:ascii="Times New Roman" w:hAnsi="Times New Roman" w:cs="Times New Roman"/>
          <w:sz w:val="24"/>
          <w:szCs w:val="24"/>
          <w:lang w:val="en-GB"/>
        </w:rPr>
        <w:t xml:space="preserve">interest group can use </w:t>
      </w:r>
      <w:r w:rsidR="0072003B" w:rsidRPr="00050DEF">
        <w:rPr>
          <w:rFonts w:ascii="Times New Roman" w:hAnsi="Times New Roman" w:cs="Times New Roman"/>
          <w:sz w:val="24"/>
          <w:szCs w:val="24"/>
          <w:lang w:val="en-GB"/>
        </w:rPr>
        <w:t>when</w:t>
      </w:r>
      <w:r w:rsidR="00483225" w:rsidRPr="00050DEF">
        <w:rPr>
          <w:rFonts w:ascii="Times New Roman" w:hAnsi="Times New Roman" w:cs="Times New Roman"/>
          <w:sz w:val="24"/>
          <w:szCs w:val="24"/>
          <w:lang w:val="en-GB"/>
        </w:rPr>
        <w:t xml:space="preserve"> the macro-frame</w:t>
      </w:r>
      <w:r w:rsidR="0072003B" w:rsidRPr="00050DEF">
        <w:rPr>
          <w:rFonts w:ascii="Times New Roman" w:hAnsi="Times New Roman" w:cs="Times New Roman"/>
          <w:sz w:val="24"/>
          <w:szCs w:val="24"/>
          <w:lang w:val="en-GB"/>
        </w:rPr>
        <w:t xml:space="preserve"> changes to be misaligned in a hegemonic way with the private interests of the interest group.</w:t>
      </w:r>
      <w:r w:rsidR="00483225" w:rsidRPr="00050DEF">
        <w:rPr>
          <w:rFonts w:ascii="Times New Roman" w:hAnsi="Times New Roman" w:cs="Times New Roman"/>
          <w:sz w:val="24"/>
          <w:szCs w:val="24"/>
          <w:lang w:val="en-GB"/>
        </w:rPr>
        <w:t xml:space="preserve"> </w:t>
      </w:r>
      <w:r w:rsidR="0072003B" w:rsidRPr="00050DEF">
        <w:rPr>
          <w:rFonts w:ascii="Times New Roman" w:hAnsi="Times New Roman" w:cs="Times New Roman"/>
          <w:sz w:val="24"/>
          <w:szCs w:val="24"/>
          <w:lang w:val="en-GB"/>
        </w:rPr>
        <w:t xml:space="preserve">Based on </w:t>
      </w:r>
      <w:r w:rsidR="00193CAF" w:rsidRPr="00050DEF">
        <w:rPr>
          <w:rFonts w:ascii="Times New Roman" w:hAnsi="Times New Roman" w:cs="Times New Roman"/>
          <w:sz w:val="24"/>
          <w:szCs w:val="24"/>
          <w:lang w:val="en-GB"/>
        </w:rPr>
        <w:t>existing</w:t>
      </w:r>
      <w:r w:rsidR="0072003B" w:rsidRPr="00050DEF">
        <w:rPr>
          <w:rFonts w:ascii="Times New Roman" w:hAnsi="Times New Roman" w:cs="Times New Roman"/>
          <w:sz w:val="24"/>
          <w:szCs w:val="24"/>
          <w:lang w:val="en-GB"/>
        </w:rPr>
        <w:t xml:space="preserve"> insights </w:t>
      </w:r>
      <w:r w:rsidR="0009476A">
        <w:rPr>
          <w:rFonts w:ascii="Times New Roman" w:hAnsi="Times New Roman" w:cs="Times New Roman"/>
          <w:sz w:val="24"/>
          <w:szCs w:val="24"/>
          <w:lang w:val="en-GB"/>
        </w:rPr>
        <w:t>in the literature</w:t>
      </w:r>
      <w:r w:rsidR="0072003B" w:rsidRPr="00050DEF">
        <w:rPr>
          <w:rFonts w:ascii="Times New Roman" w:hAnsi="Times New Roman" w:cs="Times New Roman"/>
          <w:sz w:val="24"/>
          <w:szCs w:val="24"/>
          <w:lang w:val="en-GB"/>
        </w:rPr>
        <w:t>, we derive tentative hypotheses on the sequence of the micro-frame response.</w:t>
      </w:r>
      <w:r w:rsidR="00193CAF" w:rsidRPr="00050DEF">
        <w:rPr>
          <w:rFonts w:ascii="Times New Roman" w:hAnsi="Times New Roman" w:cs="Times New Roman"/>
          <w:sz w:val="24"/>
          <w:szCs w:val="24"/>
          <w:lang w:val="en-GB"/>
        </w:rPr>
        <w:t xml:space="preserve"> </w:t>
      </w:r>
      <w:r w:rsidR="00483225" w:rsidRPr="00050DEF">
        <w:rPr>
          <w:rFonts w:ascii="Times New Roman" w:hAnsi="Times New Roman" w:cs="Times New Roman"/>
          <w:sz w:val="24"/>
          <w:szCs w:val="24"/>
          <w:lang w:val="en-GB"/>
        </w:rPr>
        <w:t>We apply the typology to the case of alcohol policy in Denmark</w:t>
      </w:r>
      <w:r w:rsidR="00ED574B" w:rsidRPr="00050DEF">
        <w:rPr>
          <w:rFonts w:ascii="Times New Roman" w:hAnsi="Times New Roman" w:cs="Times New Roman"/>
          <w:sz w:val="24"/>
          <w:szCs w:val="24"/>
          <w:lang w:val="en-GB"/>
        </w:rPr>
        <w:t>.</w:t>
      </w:r>
      <w:r w:rsidR="0072003B" w:rsidRPr="00050DEF">
        <w:rPr>
          <w:rFonts w:ascii="Times New Roman" w:hAnsi="Times New Roman" w:cs="Times New Roman"/>
          <w:sz w:val="24"/>
          <w:szCs w:val="24"/>
          <w:lang w:val="en-GB"/>
        </w:rPr>
        <w:t xml:space="preserve"> </w:t>
      </w:r>
      <w:r w:rsidR="00ED574B" w:rsidRPr="00050DEF">
        <w:rPr>
          <w:rFonts w:ascii="Times New Roman" w:hAnsi="Times New Roman" w:cs="Times New Roman"/>
          <w:sz w:val="24"/>
          <w:szCs w:val="24"/>
          <w:lang w:val="en-GB"/>
        </w:rPr>
        <w:t>O</w:t>
      </w:r>
      <w:r w:rsidR="00A564CC" w:rsidRPr="00050DEF">
        <w:rPr>
          <w:rFonts w:ascii="Times New Roman" w:hAnsi="Times New Roman" w:cs="Times New Roman"/>
          <w:sz w:val="24"/>
          <w:szCs w:val="24"/>
          <w:lang w:val="en-GB"/>
        </w:rPr>
        <w:t xml:space="preserve">ur typology opens up a new and important avenue for future interest group research. </w:t>
      </w:r>
    </w:p>
    <w:p w14:paraId="35CC6E75" w14:textId="77777777" w:rsidR="000A10AB" w:rsidRPr="00050DEF" w:rsidRDefault="000A10AB">
      <w:pPr>
        <w:rPr>
          <w:rFonts w:ascii="Times New Roman" w:hAnsi="Times New Roman" w:cs="Times New Roman"/>
          <w:b/>
          <w:sz w:val="24"/>
          <w:szCs w:val="24"/>
          <w:lang w:val="en-GB"/>
        </w:rPr>
      </w:pPr>
    </w:p>
    <w:p w14:paraId="7EB6442F" w14:textId="464ECD09" w:rsidR="005F16FF" w:rsidRPr="00050DEF" w:rsidRDefault="000A10AB">
      <w:pPr>
        <w:rPr>
          <w:rFonts w:ascii="Times New Roman" w:hAnsi="Times New Roman" w:cs="Times New Roman"/>
          <w:sz w:val="24"/>
          <w:szCs w:val="24"/>
          <w:lang w:val="en-GB"/>
        </w:rPr>
      </w:pPr>
      <w:r w:rsidRPr="00050DEF">
        <w:rPr>
          <w:rFonts w:ascii="Times New Roman" w:hAnsi="Times New Roman" w:cs="Times New Roman"/>
          <w:b/>
          <w:sz w:val="24"/>
          <w:szCs w:val="24"/>
          <w:lang w:val="en-GB"/>
        </w:rPr>
        <w:t>Key words</w:t>
      </w:r>
      <w:r w:rsidR="008D6E0E">
        <w:rPr>
          <w:rFonts w:ascii="Times New Roman" w:hAnsi="Times New Roman" w:cs="Times New Roman"/>
          <w:sz w:val="24"/>
          <w:szCs w:val="24"/>
          <w:lang w:val="en-GB"/>
        </w:rPr>
        <w:t>: A</w:t>
      </w:r>
      <w:r w:rsidR="008D6E0E" w:rsidRPr="00050DEF">
        <w:rPr>
          <w:rFonts w:ascii="Times New Roman" w:hAnsi="Times New Roman" w:cs="Times New Roman"/>
          <w:sz w:val="24"/>
          <w:szCs w:val="24"/>
          <w:lang w:val="en-GB"/>
        </w:rPr>
        <w:t>lcohol policy</w:t>
      </w:r>
      <w:r w:rsidR="008D6E0E">
        <w:rPr>
          <w:rFonts w:ascii="Times New Roman" w:hAnsi="Times New Roman" w:cs="Times New Roman"/>
          <w:sz w:val="24"/>
          <w:szCs w:val="24"/>
          <w:lang w:val="en-GB"/>
        </w:rPr>
        <w:t>;</w:t>
      </w:r>
      <w:r w:rsidR="008D6E0E" w:rsidRPr="00050DEF">
        <w:rPr>
          <w:rFonts w:ascii="Times New Roman" w:hAnsi="Times New Roman" w:cs="Times New Roman"/>
          <w:sz w:val="24"/>
          <w:szCs w:val="24"/>
          <w:lang w:val="en-GB"/>
        </w:rPr>
        <w:t xml:space="preserve"> interest groups;</w:t>
      </w:r>
      <w:r w:rsidR="008D6E0E">
        <w:rPr>
          <w:rFonts w:ascii="Times New Roman" w:hAnsi="Times New Roman" w:cs="Times New Roman"/>
          <w:sz w:val="24"/>
          <w:szCs w:val="24"/>
          <w:lang w:val="en-GB"/>
        </w:rPr>
        <w:t xml:space="preserve"> macro-framing; micro-framing</w:t>
      </w:r>
      <w:r w:rsidRPr="00050DEF">
        <w:rPr>
          <w:rFonts w:ascii="Times New Roman" w:hAnsi="Times New Roman" w:cs="Times New Roman"/>
          <w:sz w:val="24"/>
          <w:szCs w:val="24"/>
          <w:lang w:val="en-GB"/>
        </w:rPr>
        <w:t>.</w:t>
      </w:r>
      <w:r w:rsidR="005F16FF" w:rsidRPr="00050DEF">
        <w:rPr>
          <w:rFonts w:ascii="Times New Roman" w:hAnsi="Times New Roman" w:cs="Times New Roman"/>
          <w:sz w:val="24"/>
          <w:szCs w:val="24"/>
          <w:lang w:val="en-GB"/>
        </w:rPr>
        <w:br w:type="page"/>
      </w:r>
    </w:p>
    <w:p w14:paraId="3162BC6E" w14:textId="76826FD6" w:rsidR="001031D0" w:rsidRPr="00050DEF" w:rsidRDefault="00F83870"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 xml:space="preserve">Strategic communication via so-called framing is a </w:t>
      </w:r>
      <w:r w:rsidR="008B23FC" w:rsidRPr="00050DEF">
        <w:rPr>
          <w:rFonts w:ascii="Times New Roman" w:hAnsi="Times New Roman" w:cs="Times New Roman"/>
          <w:sz w:val="24"/>
          <w:szCs w:val="24"/>
          <w:lang w:val="en-GB"/>
        </w:rPr>
        <w:t xml:space="preserve">potentially powerful way </w:t>
      </w:r>
      <w:r w:rsidRPr="00050DEF">
        <w:rPr>
          <w:rFonts w:ascii="Times New Roman" w:hAnsi="Times New Roman" w:cs="Times New Roman"/>
          <w:sz w:val="24"/>
          <w:szCs w:val="24"/>
          <w:lang w:val="en-GB"/>
        </w:rPr>
        <w:t>to affect policy-making. By emphasizing specific aspects of an issue</w:t>
      </w:r>
      <w:r w:rsidR="00D302DE" w:rsidRPr="00050DEF">
        <w:rPr>
          <w:rFonts w:ascii="Times New Roman" w:hAnsi="Times New Roman" w:cs="Times New Roman"/>
          <w:sz w:val="24"/>
          <w:szCs w:val="24"/>
          <w:lang w:val="en-GB"/>
        </w:rPr>
        <w:t xml:space="preserve"> – or defining the debate</w:t>
      </w:r>
      <w:r w:rsidR="00DC0CC1" w:rsidRPr="00050DEF">
        <w:rPr>
          <w:rFonts w:ascii="Times New Roman" w:hAnsi="Times New Roman" w:cs="Times New Roman"/>
          <w:sz w:val="24"/>
          <w:szCs w:val="24"/>
          <w:lang w:val="en-GB"/>
        </w:rPr>
        <w:t>,</w:t>
      </w:r>
      <w:r w:rsidR="00D302DE" w:rsidRPr="00050DEF">
        <w:rPr>
          <w:rFonts w:ascii="Times New Roman" w:hAnsi="Times New Roman" w:cs="Times New Roman"/>
          <w:sz w:val="24"/>
          <w:szCs w:val="24"/>
          <w:lang w:val="en-GB"/>
        </w:rPr>
        <w:t xml:space="preserve"> as Baumgartner and Mahoney (2008: 436) put it –</w:t>
      </w:r>
      <w:r w:rsidRPr="00050DEF">
        <w:rPr>
          <w:rFonts w:ascii="Times New Roman" w:hAnsi="Times New Roman" w:cs="Times New Roman"/>
          <w:sz w:val="24"/>
          <w:szCs w:val="24"/>
          <w:lang w:val="en-GB"/>
        </w:rPr>
        <w:t xml:space="preserve"> some</w:t>
      </w:r>
      <w:r w:rsidR="00D302DE"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policies become more </w:t>
      </w:r>
      <w:r w:rsidR="00A028A5" w:rsidRPr="00050DEF">
        <w:rPr>
          <w:rFonts w:ascii="Times New Roman" w:hAnsi="Times New Roman" w:cs="Times New Roman"/>
          <w:sz w:val="24"/>
          <w:szCs w:val="24"/>
          <w:lang w:val="en-GB"/>
        </w:rPr>
        <w:t xml:space="preserve">obvious or </w:t>
      </w:r>
      <w:r w:rsidRPr="00050DEF">
        <w:rPr>
          <w:rFonts w:ascii="Times New Roman" w:hAnsi="Times New Roman" w:cs="Times New Roman"/>
          <w:sz w:val="24"/>
          <w:szCs w:val="24"/>
          <w:lang w:val="en-GB"/>
        </w:rPr>
        <w:t>acceptable</w:t>
      </w:r>
      <w:r w:rsidR="00EA6282" w:rsidRPr="00050DEF">
        <w:rPr>
          <w:rFonts w:ascii="Times New Roman" w:hAnsi="Times New Roman" w:cs="Times New Roman"/>
          <w:sz w:val="24"/>
          <w:szCs w:val="24"/>
          <w:lang w:val="en-GB"/>
        </w:rPr>
        <w:t xml:space="preserve"> to pursue</w:t>
      </w:r>
      <w:r w:rsidRPr="00050DEF">
        <w:rPr>
          <w:rFonts w:ascii="Times New Roman" w:hAnsi="Times New Roman" w:cs="Times New Roman"/>
          <w:sz w:val="24"/>
          <w:szCs w:val="24"/>
          <w:lang w:val="en-GB"/>
        </w:rPr>
        <w:t xml:space="preserve"> than others</w:t>
      </w:r>
      <w:r w:rsidR="00250DDC" w:rsidRPr="00050DEF">
        <w:rPr>
          <w:rFonts w:ascii="Times New Roman" w:hAnsi="Times New Roman" w:cs="Times New Roman"/>
          <w:sz w:val="24"/>
          <w:szCs w:val="24"/>
          <w:lang w:val="en-GB"/>
        </w:rPr>
        <w:t xml:space="preserve"> (Entman 1993</w:t>
      </w:r>
      <w:r w:rsidR="00DC6B3E" w:rsidRPr="00050DEF">
        <w:rPr>
          <w:rFonts w:ascii="Times New Roman" w:hAnsi="Times New Roman" w:cs="Times New Roman"/>
          <w:sz w:val="24"/>
          <w:szCs w:val="24"/>
          <w:lang w:val="en-GB"/>
        </w:rPr>
        <w:t>: 53</w:t>
      </w:r>
      <w:r w:rsidR="00250DDC"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00891670" w:rsidRPr="00050DEF">
        <w:rPr>
          <w:rFonts w:ascii="Times New Roman" w:hAnsi="Times New Roman" w:cs="Times New Roman"/>
          <w:sz w:val="24"/>
          <w:szCs w:val="24"/>
          <w:lang w:val="en-GB"/>
        </w:rPr>
        <w:t>For instance, w</w:t>
      </w:r>
      <w:r w:rsidR="00D00C87" w:rsidRPr="00050DEF">
        <w:rPr>
          <w:rFonts w:ascii="Times New Roman" w:hAnsi="Times New Roman" w:cs="Times New Roman"/>
          <w:sz w:val="24"/>
          <w:szCs w:val="24"/>
          <w:lang w:val="en-GB"/>
        </w:rPr>
        <w:t>hether th</w:t>
      </w:r>
      <w:r w:rsidR="00891670" w:rsidRPr="00050DEF">
        <w:rPr>
          <w:rFonts w:ascii="Times New Roman" w:hAnsi="Times New Roman" w:cs="Times New Roman"/>
          <w:sz w:val="24"/>
          <w:szCs w:val="24"/>
          <w:lang w:val="en-GB"/>
        </w:rPr>
        <w:t xml:space="preserve">e use of pesticides in farming </w:t>
      </w:r>
      <w:r w:rsidR="00D00C87" w:rsidRPr="00050DEF">
        <w:rPr>
          <w:rFonts w:ascii="Times New Roman" w:hAnsi="Times New Roman" w:cs="Times New Roman"/>
          <w:sz w:val="24"/>
          <w:szCs w:val="24"/>
          <w:lang w:val="en-GB"/>
        </w:rPr>
        <w:t xml:space="preserve">is viewed </w:t>
      </w:r>
      <w:r w:rsidR="00F5514D" w:rsidRPr="00050DEF">
        <w:rPr>
          <w:rFonts w:ascii="Times New Roman" w:hAnsi="Times New Roman" w:cs="Times New Roman"/>
          <w:sz w:val="24"/>
          <w:szCs w:val="24"/>
          <w:lang w:val="en-GB"/>
        </w:rPr>
        <w:t>primarily</w:t>
      </w:r>
      <w:r w:rsidR="00813151" w:rsidRPr="00050DEF">
        <w:rPr>
          <w:rFonts w:ascii="Times New Roman" w:hAnsi="Times New Roman" w:cs="Times New Roman"/>
          <w:sz w:val="24"/>
          <w:szCs w:val="24"/>
          <w:lang w:val="en-GB"/>
        </w:rPr>
        <w:t xml:space="preserve"> from the perspective o</w:t>
      </w:r>
      <w:r w:rsidR="00A028A5" w:rsidRPr="00050DEF">
        <w:rPr>
          <w:rFonts w:ascii="Times New Roman" w:hAnsi="Times New Roman" w:cs="Times New Roman"/>
          <w:sz w:val="24"/>
          <w:szCs w:val="24"/>
          <w:lang w:val="en-GB"/>
        </w:rPr>
        <w:t>f expanding food production or humans’</w:t>
      </w:r>
      <w:r w:rsidR="00813151" w:rsidRPr="00050DEF">
        <w:rPr>
          <w:rFonts w:ascii="Times New Roman" w:hAnsi="Times New Roman" w:cs="Times New Roman"/>
          <w:sz w:val="24"/>
          <w:szCs w:val="24"/>
          <w:lang w:val="en-GB"/>
        </w:rPr>
        <w:t xml:space="preserve"> health environment ma</w:t>
      </w:r>
      <w:r w:rsidR="00250DDC" w:rsidRPr="00050DEF">
        <w:rPr>
          <w:rFonts w:ascii="Times New Roman" w:hAnsi="Times New Roman" w:cs="Times New Roman"/>
          <w:sz w:val="24"/>
          <w:szCs w:val="24"/>
          <w:lang w:val="en-GB"/>
        </w:rPr>
        <w:t>tter</w:t>
      </w:r>
      <w:r w:rsidR="00692C5B" w:rsidRPr="00050DEF">
        <w:rPr>
          <w:rFonts w:ascii="Times New Roman" w:hAnsi="Times New Roman" w:cs="Times New Roman"/>
          <w:sz w:val="24"/>
          <w:szCs w:val="24"/>
          <w:lang w:val="en-GB"/>
        </w:rPr>
        <w:t>s</w:t>
      </w:r>
      <w:r w:rsidR="00813151" w:rsidRPr="00050DEF">
        <w:rPr>
          <w:rFonts w:ascii="Times New Roman" w:hAnsi="Times New Roman" w:cs="Times New Roman"/>
          <w:sz w:val="24"/>
          <w:szCs w:val="24"/>
          <w:lang w:val="en-GB"/>
        </w:rPr>
        <w:t xml:space="preserve"> greatly for the </w:t>
      </w:r>
      <w:r w:rsidR="00A028A5" w:rsidRPr="00050DEF">
        <w:rPr>
          <w:rFonts w:ascii="Times New Roman" w:hAnsi="Times New Roman" w:cs="Times New Roman"/>
          <w:sz w:val="24"/>
          <w:szCs w:val="24"/>
          <w:lang w:val="en-GB"/>
        </w:rPr>
        <w:t xml:space="preserve">regulatory </w:t>
      </w:r>
      <w:r w:rsidR="00813151" w:rsidRPr="00050DEF">
        <w:rPr>
          <w:rFonts w:ascii="Times New Roman" w:hAnsi="Times New Roman" w:cs="Times New Roman"/>
          <w:sz w:val="24"/>
          <w:szCs w:val="24"/>
          <w:lang w:val="en-GB"/>
        </w:rPr>
        <w:t xml:space="preserve">strictness </w:t>
      </w:r>
      <w:r w:rsidR="00A028A5" w:rsidRPr="00050DEF">
        <w:rPr>
          <w:rFonts w:ascii="Times New Roman" w:hAnsi="Times New Roman" w:cs="Times New Roman"/>
          <w:sz w:val="24"/>
          <w:szCs w:val="24"/>
          <w:lang w:val="en-GB"/>
        </w:rPr>
        <w:t xml:space="preserve">on the area </w:t>
      </w:r>
      <w:r w:rsidR="00EA6282" w:rsidRPr="00050DEF">
        <w:rPr>
          <w:rFonts w:ascii="Times New Roman" w:hAnsi="Times New Roman" w:cs="Times New Roman"/>
          <w:sz w:val="24"/>
          <w:szCs w:val="24"/>
          <w:lang w:val="en-GB"/>
        </w:rPr>
        <w:t>(Baumgartn</w:t>
      </w:r>
      <w:r w:rsidR="00813151" w:rsidRPr="00050DEF">
        <w:rPr>
          <w:rFonts w:ascii="Times New Roman" w:hAnsi="Times New Roman" w:cs="Times New Roman"/>
          <w:sz w:val="24"/>
          <w:szCs w:val="24"/>
          <w:lang w:val="en-GB"/>
        </w:rPr>
        <w:t xml:space="preserve">er and Jones </w:t>
      </w:r>
      <w:r w:rsidR="005017EC" w:rsidRPr="00050DEF">
        <w:rPr>
          <w:rFonts w:ascii="Times New Roman" w:hAnsi="Times New Roman" w:cs="Times New Roman"/>
          <w:sz w:val="24"/>
          <w:szCs w:val="24"/>
          <w:lang w:val="en-GB"/>
        </w:rPr>
        <w:t>1993</w:t>
      </w:r>
      <w:r w:rsidR="00813151" w:rsidRPr="00050DEF">
        <w:rPr>
          <w:rFonts w:ascii="Times New Roman" w:hAnsi="Times New Roman" w:cs="Times New Roman"/>
          <w:sz w:val="24"/>
          <w:szCs w:val="24"/>
          <w:lang w:val="en-GB"/>
        </w:rPr>
        <w:t>:</w:t>
      </w:r>
      <w:r w:rsidR="00A028A5" w:rsidRPr="00050DEF">
        <w:rPr>
          <w:rFonts w:ascii="Times New Roman" w:hAnsi="Times New Roman" w:cs="Times New Roman"/>
          <w:sz w:val="24"/>
          <w:szCs w:val="24"/>
          <w:lang w:val="en-GB"/>
        </w:rPr>
        <w:t xml:space="preserve"> 93</w:t>
      </w:r>
      <w:r w:rsidR="009C7118" w:rsidRPr="00050DEF">
        <w:rPr>
          <w:rFonts w:ascii="Times New Roman" w:hAnsi="Times New Roman" w:cs="Times New Roman"/>
          <w:sz w:val="24"/>
          <w:szCs w:val="24"/>
          <w:lang w:val="en-GB"/>
        </w:rPr>
        <w:t>–</w:t>
      </w:r>
      <w:r w:rsidR="00A028A5" w:rsidRPr="00050DEF">
        <w:rPr>
          <w:rFonts w:ascii="Times New Roman" w:hAnsi="Times New Roman" w:cs="Times New Roman"/>
          <w:sz w:val="24"/>
          <w:szCs w:val="24"/>
          <w:lang w:val="en-GB"/>
        </w:rPr>
        <w:t xml:space="preserve">99). </w:t>
      </w:r>
      <w:r w:rsidR="008B23FC" w:rsidRPr="00050DEF">
        <w:rPr>
          <w:rFonts w:ascii="Times New Roman" w:hAnsi="Times New Roman" w:cs="Times New Roman"/>
          <w:sz w:val="24"/>
          <w:szCs w:val="24"/>
          <w:lang w:val="en-GB"/>
        </w:rPr>
        <w:t xml:space="preserve">In recent years, interest group scholars have </w:t>
      </w:r>
      <w:r w:rsidR="00A028A5" w:rsidRPr="00050DEF">
        <w:rPr>
          <w:rFonts w:ascii="Times New Roman" w:hAnsi="Times New Roman" w:cs="Times New Roman"/>
          <w:sz w:val="24"/>
          <w:szCs w:val="24"/>
          <w:lang w:val="en-GB"/>
        </w:rPr>
        <w:t xml:space="preserve">consequently </w:t>
      </w:r>
      <w:r w:rsidR="008B23FC" w:rsidRPr="00050DEF">
        <w:rPr>
          <w:rFonts w:ascii="Times New Roman" w:hAnsi="Times New Roman" w:cs="Times New Roman"/>
          <w:sz w:val="24"/>
          <w:szCs w:val="24"/>
          <w:lang w:val="en-GB"/>
        </w:rPr>
        <w:t xml:space="preserve">been increasingly preoccupied with </w:t>
      </w:r>
      <w:r w:rsidR="00A028A5" w:rsidRPr="00050DEF">
        <w:rPr>
          <w:rFonts w:ascii="Times New Roman" w:hAnsi="Times New Roman" w:cs="Times New Roman"/>
          <w:sz w:val="24"/>
          <w:szCs w:val="24"/>
          <w:lang w:val="en-GB"/>
        </w:rPr>
        <w:t>how interest group</w:t>
      </w:r>
      <w:r w:rsidR="002D6578" w:rsidRPr="00050DEF">
        <w:rPr>
          <w:rFonts w:ascii="Times New Roman" w:hAnsi="Times New Roman" w:cs="Times New Roman"/>
          <w:sz w:val="24"/>
          <w:szCs w:val="24"/>
          <w:lang w:val="en-GB"/>
        </w:rPr>
        <w:t>s</w:t>
      </w:r>
      <w:r w:rsidR="00A028A5" w:rsidRPr="00050DEF">
        <w:rPr>
          <w:rFonts w:ascii="Times New Roman" w:hAnsi="Times New Roman" w:cs="Times New Roman"/>
          <w:sz w:val="24"/>
          <w:szCs w:val="24"/>
          <w:lang w:val="en-GB"/>
        </w:rPr>
        <w:t xml:space="preserve"> use framing to affect the policy-making process</w:t>
      </w:r>
      <w:r w:rsidR="00250DDC" w:rsidRPr="00050DEF">
        <w:rPr>
          <w:rFonts w:ascii="Times New Roman" w:hAnsi="Times New Roman" w:cs="Times New Roman"/>
          <w:sz w:val="24"/>
          <w:szCs w:val="24"/>
          <w:lang w:val="en-GB"/>
        </w:rPr>
        <w:t xml:space="preserve"> </w:t>
      </w:r>
      <w:r w:rsidR="00891670" w:rsidRPr="00050DEF">
        <w:rPr>
          <w:rFonts w:ascii="Times New Roman" w:hAnsi="Times New Roman" w:cs="Times New Roman"/>
          <w:sz w:val="24"/>
          <w:szCs w:val="24"/>
          <w:lang w:val="en-GB"/>
        </w:rPr>
        <w:t>to their own benefit</w:t>
      </w:r>
      <w:r w:rsidR="008A3111" w:rsidRPr="00050DEF">
        <w:rPr>
          <w:rFonts w:ascii="Times New Roman" w:hAnsi="Times New Roman" w:cs="Times New Roman"/>
          <w:sz w:val="24"/>
          <w:szCs w:val="24"/>
          <w:lang w:val="en-GB"/>
        </w:rPr>
        <w:t xml:space="preserve"> (Baumgartner and Mahoney 2008; Klüver </w:t>
      </w:r>
      <w:r w:rsidR="008A3111" w:rsidRPr="00E924E9">
        <w:rPr>
          <w:rFonts w:ascii="Times New Roman" w:hAnsi="Times New Roman" w:cs="Times New Roman"/>
          <w:iCs/>
          <w:sz w:val="24"/>
          <w:szCs w:val="24"/>
          <w:lang w:val="en-GB"/>
        </w:rPr>
        <w:t>et al.</w:t>
      </w:r>
      <w:r w:rsidR="008A3111" w:rsidRPr="00050DEF">
        <w:rPr>
          <w:rFonts w:ascii="Times New Roman" w:hAnsi="Times New Roman" w:cs="Times New Roman"/>
          <w:sz w:val="24"/>
          <w:szCs w:val="24"/>
          <w:lang w:val="en-GB"/>
        </w:rPr>
        <w:t xml:space="preserve"> 2015; Binderkrantz 201</w:t>
      </w:r>
      <w:r w:rsidR="00264CBD" w:rsidRPr="00050DEF">
        <w:rPr>
          <w:rFonts w:ascii="Times New Roman" w:hAnsi="Times New Roman" w:cs="Times New Roman"/>
          <w:sz w:val="24"/>
          <w:szCs w:val="24"/>
          <w:lang w:val="en-GB"/>
        </w:rPr>
        <w:t>9</w:t>
      </w:r>
      <w:r w:rsidR="008A3111" w:rsidRPr="00050DEF">
        <w:rPr>
          <w:rFonts w:ascii="Times New Roman" w:hAnsi="Times New Roman" w:cs="Times New Roman"/>
          <w:sz w:val="24"/>
          <w:szCs w:val="24"/>
          <w:lang w:val="en-GB"/>
        </w:rPr>
        <w:t>)</w:t>
      </w:r>
      <w:r w:rsidR="00250DDC" w:rsidRPr="00050DEF">
        <w:rPr>
          <w:rFonts w:ascii="Times New Roman" w:hAnsi="Times New Roman" w:cs="Times New Roman"/>
          <w:sz w:val="24"/>
          <w:szCs w:val="24"/>
          <w:lang w:val="en-GB"/>
        </w:rPr>
        <w:t>.</w:t>
      </w:r>
    </w:p>
    <w:p w14:paraId="33E39D75" w14:textId="241D9502" w:rsidR="00E4299C" w:rsidRPr="00050DEF" w:rsidRDefault="00EA6282"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As emphasized by Baumgartner and Mahoney</w:t>
      </w:r>
      <w:r w:rsidR="00D66B25" w:rsidRPr="00050DEF">
        <w:rPr>
          <w:rFonts w:ascii="Times New Roman" w:hAnsi="Times New Roman" w:cs="Times New Roman"/>
          <w:sz w:val="24"/>
          <w:szCs w:val="24"/>
          <w:lang w:val="en-GB"/>
        </w:rPr>
        <w:t xml:space="preserve"> </w:t>
      </w:r>
      <w:r w:rsidR="00D66B25" w:rsidRPr="00050DEF">
        <w:rPr>
          <w:rFonts w:ascii="Times New Roman" w:hAnsi="Times New Roman" w:cs="Times New Roman"/>
          <w:sz w:val="24"/>
          <w:lang w:val="en-GB"/>
        </w:rPr>
        <w:t>(2008)</w:t>
      </w:r>
      <w:r w:rsidRPr="00050DEF">
        <w:rPr>
          <w:rFonts w:ascii="Times New Roman" w:hAnsi="Times New Roman" w:cs="Times New Roman"/>
          <w:sz w:val="24"/>
          <w:szCs w:val="24"/>
          <w:lang w:val="en-GB"/>
        </w:rPr>
        <w:t xml:space="preserve"> and de Bryucker</w:t>
      </w:r>
      <w:r w:rsidR="00D66B25" w:rsidRPr="00050DEF">
        <w:rPr>
          <w:rFonts w:ascii="Times New Roman" w:hAnsi="Times New Roman" w:cs="Times New Roman"/>
          <w:sz w:val="24"/>
          <w:szCs w:val="24"/>
          <w:lang w:val="en-GB"/>
        </w:rPr>
        <w:t xml:space="preserve"> </w:t>
      </w:r>
      <w:r w:rsidR="00D66B25" w:rsidRPr="00050DEF">
        <w:rPr>
          <w:rFonts w:ascii="Times New Roman" w:hAnsi="Times New Roman" w:cs="Times New Roman"/>
          <w:sz w:val="24"/>
          <w:lang w:val="en-GB"/>
        </w:rPr>
        <w:t>(2017)</w:t>
      </w:r>
      <w:r w:rsidRPr="00050DEF">
        <w:rPr>
          <w:rFonts w:ascii="Times New Roman" w:hAnsi="Times New Roman" w:cs="Times New Roman"/>
          <w:sz w:val="24"/>
          <w:szCs w:val="24"/>
          <w:lang w:val="en-GB"/>
        </w:rPr>
        <w:t xml:space="preserve">, framing is not a one-way street. </w:t>
      </w:r>
      <w:r w:rsidR="00651DA8" w:rsidRPr="00050DEF">
        <w:rPr>
          <w:rFonts w:ascii="Times New Roman" w:hAnsi="Times New Roman" w:cs="Times New Roman"/>
          <w:sz w:val="24"/>
          <w:szCs w:val="24"/>
          <w:lang w:val="en-GB"/>
        </w:rPr>
        <w:t>Individual interest groups may want to project their favo</w:t>
      </w:r>
      <w:r w:rsidR="00C01D00">
        <w:rPr>
          <w:rFonts w:ascii="Times New Roman" w:hAnsi="Times New Roman" w:cs="Times New Roman"/>
          <w:sz w:val="24"/>
          <w:szCs w:val="24"/>
          <w:lang w:val="en-GB"/>
        </w:rPr>
        <w:t>u</w:t>
      </w:r>
      <w:r w:rsidR="00651DA8" w:rsidRPr="00050DEF">
        <w:rPr>
          <w:rFonts w:ascii="Times New Roman" w:hAnsi="Times New Roman" w:cs="Times New Roman"/>
          <w:sz w:val="24"/>
          <w:szCs w:val="24"/>
          <w:lang w:val="en-GB"/>
        </w:rPr>
        <w:t>rite frame</w:t>
      </w:r>
      <w:r w:rsidR="004636DF" w:rsidRPr="00050DEF">
        <w:rPr>
          <w:rFonts w:ascii="Times New Roman" w:hAnsi="Times New Roman" w:cs="Times New Roman"/>
          <w:sz w:val="24"/>
          <w:szCs w:val="24"/>
          <w:lang w:val="en-GB"/>
        </w:rPr>
        <w:t xml:space="preserve"> onto the public agenda, but they are at the same time affected by the frame that happens to dominate the public agenda</w:t>
      </w:r>
      <w:r w:rsidR="00387005" w:rsidRPr="00050DEF">
        <w:rPr>
          <w:rFonts w:ascii="Times New Roman" w:hAnsi="Times New Roman" w:cs="Times New Roman"/>
          <w:sz w:val="24"/>
          <w:szCs w:val="24"/>
          <w:lang w:val="en-GB"/>
        </w:rPr>
        <w:t xml:space="preserve"> at any given point</w:t>
      </w:r>
      <w:r w:rsidR="004636DF" w:rsidRPr="00050DEF">
        <w:rPr>
          <w:rFonts w:ascii="Times New Roman" w:hAnsi="Times New Roman" w:cs="Times New Roman"/>
          <w:sz w:val="24"/>
          <w:szCs w:val="24"/>
          <w:lang w:val="en-GB"/>
        </w:rPr>
        <w:t xml:space="preserve">. Interest groups are </w:t>
      </w:r>
      <w:r w:rsidR="00692C5B" w:rsidRPr="00050DEF">
        <w:rPr>
          <w:rFonts w:ascii="Times New Roman" w:hAnsi="Times New Roman" w:cs="Times New Roman"/>
          <w:sz w:val="24"/>
          <w:szCs w:val="24"/>
          <w:lang w:val="en-GB"/>
        </w:rPr>
        <w:t>‘</w:t>
      </w:r>
      <w:r w:rsidR="004636DF" w:rsidRPr="00050DEF">
        <w:rPr>
          <w:rFonts w:ascii="Times New Roman" w:hAnsi="Times New Roman" w:cs="Times New Roman"/>
          <w:sz w:val="24"/>
          <w:szCs w:val="24"/>
          <w:lang w:val="en-GB"/>
        </w:rPr>
        <w:t>frame</w:t>
      </w:r>
      <w:r w:rsidR="00692C5B" w:rsidRPr="00050DEF">
        <w:rPr>
          <w:rFonts w:ascii="Times New Roman" w:hAnsi="Times New Roman" w:cs="Times New Roman"/>
          <w:sz w:val="24"/>
          <w:szCs w:val="24"/>
          <w:lang w:val="en-GB"/>
        </w:rPr>
        <w:t xml:space="preserve"> </w:t>
      </w:r>
      <w:r w:rsidR="004636DF" w:rsidRPr="00050DEF">
        <w:rPr>
          <w:rFonts w:ascii="Times New Roman" w:hAnsi="Times New Roman" w:cs="Times New Roman"/>
          <w:sz w:val="24"/>
          <w:szCs w:val="24"/>
          <w:lang w:val="en-GB"/>
        </w:rPr>
        <w:t>takers</w:t>
      </w:r>
      <w:r w:rsidR="00692C5B" w:rsidRPr="00050DEF">
        <w:rPr>
          <w:rFonts w:ascii="Times New Roman" w:hAnsi="Times New Roman" w:cs="Times New Roman"/>
          <w:sz w:val="24"/>
          <w:szCs w:val="24"/>
          <w:lang w:val="en-GB"/>
        </w:rPr>
        <w:t>’</w:t>
      </w:r>
      <w:r w:rsidR="004636DF" w:rsidRPr="00050DEF">
        <w:rPr>
          <w:rFonts w:ascii="Times New Roman" w:hAnsi="Times New Roman" w:cs="Times New Roman"/>
          <w:sz w:val="24"/>
          <w:szCs w:val="24"/>
          <w:lang w:val="en-GB"/>
        </w:rPr>
        <w:t xml:space="preserve"> as often as they are </w:t>
      </w:r>
      <w:r w:rsidR="00692C5B" w:rsidRPr="00050DEF">
        <w:rPr>
          <w:rFonts w:ascii="Times New Roman" w:hAnsi="Times New Roman" w:cs="Times New Roman"/>
          <w:sz w:val="24"/>
          <w:szCs w:val="24"/>
          <w:lang w:val="en-GB"/>
        </w:rPr>
        <w:t>‘</w:t>
      </w:r>
      <w:r w:rsidR="004636DF" w:rsidRPr="00050DEF">
        <w:rPr>
          <w:rFonts w:ascii="Times New Roman" w:hAnsi="Times New Roman" w:cs="Times New Roman"/>
          <w:sz w:val="24"/>
          <w:szCs w:val="24"/>
          <w:lang w:val="en-GB"/>
        </w:rPr>
        <w:t>frame</w:t>
      </w:r>
      <w:r w:rsidR="00692C5B" w:rsidRPr="00050DEF">
        <w:rPr>
          <w:rFonts w:ascii="Times New Roman" w:hAnsi="Times New Roman" w:cs="Times New Roman"/>
          <w:sz w:val="24"/>
          <w:szCs w:val="24"/>
          <w:lang w:val="en-GB"/>
        </w:rPr>
        <w:t xml:space="preserve"> </w:t>
      </w:r>
      <w:r w:rsidR="004636DF" w:rsidRPr="00050DEF">
        <w:rPr>
          <w:rFonts w:ascii="Times New Roman" w:hAnsi="Times New Roman" w:cs="Times New Roman"/>
          <w:sz w:val="24"/>
          <w:szCs w:val="24"/>
          <w:lang w:val="en-GB"/>
        </w:rPr>
        <w:t>givers</w:t>
      </w:r>
      <w:r w:rsidR="00692C5B" w:rsidRPr="00050DEF">
        <w:rPr>
          <w:rFonts w:ascii="Times New Roman" w:hAnsi="Times New Roman" w:cs="Times New Roman"/>
          <w:sz w:val="24"/>
          <w:szCs w:val="24"/>
          <w:lang w:val="en-GB"/>
        </w:rPr>
        <w:t>’</w:t>
      </w:r>
      <w:r w:rsidR="004636DF" w:rsidRPr="00050DEF">
        <w:rPr>
          <w:rFonts w:ascii="Times New Roman" w:hAnsi="Times New Roman" w:cs="Times New Roman"/>
          <w:sz w:val="24"/>
          <w:szCs w:val="24"/>
          <w:lang w:val="en-GB"/>
        </w:rPr>
        <w:t>. Indeed, understanding the intersection between the macro-frame of the public agenda and the micro-frame of individual interest groups constitute</w:t>
      </w:r>
      <w:r w:rsidR="00734F9C" w:rsidRPr="00050DEF">
        <w:rPr>
          <w:rFonts w:ascii="Times New Roman" w:hAnsi="Times New Roman" w:cs="Times New Roman"/>
          <w:sz w:val="24"/>
          <w:szCs w:val="24"/>
          <w:lang w:val="en-GB"/>
        </w:rPr>
        <w:t>s</w:t>
      </w:r>
      <w:r w:rsidR="004636DF" w:rsidRPr="00050DEF">
        <w:rPr>
          <w:rFonts w:ascii="Times New Roman" w:hAnsi="Times New Roman" w:cs="Times New Roman"/>
          <w:sz w:val="24"/>
          <w:szCs w:val="24"/>
          <w:lang w:val="en-GB"/>
        </w:rPr>
        <w:t xml:space="preserve"> </w:t>
      </w:r>
      <w:r w:rsidR="006F3512" w:rsidRPr="00050DEF">
        <w:rPr>
          <w:rFonts w:ascii="Times New Roman" w:hAnsi="Times New Roman" w:cs="Times New Roman"/>
          <w:sz w:val="24"/>
          <w:szCs w:val="24"/>
          <w:lang w:val="en-GB"/>
        </w:rPr>
        <w:t xml:space="preserve">a </w:t>
      </w:r>
      <w:r w:rsidR="0070325D" w:rsidRPr="00050DEF">
        <w:rPr>
          <w:rFonts w:ascii="Times New Roman" w:hAnsi="Times New Roman" w:cs="Times New Roman"/>
          <w:sz w:val="24"/>
          <w:szCs w:val="24"/>
          <w:lang w:val="en-GB"/>
        </w:rPr>
        <w:t>key interest</w:t>
      </w:r>
      <w:r w:rsidR="004636DF" w:rsidRPr="00050DEF">
        <w:rPr>
          <w:rFonts w:ascii="Times New Roman" w:hAnsi="Times New Roman" w:cs="Times New Roman"/>
          <w:sz w:val="24"/>
          <w:szCs w:val="24"/>
          <w:lang w:val="en-GB"/>
        </w:rPr>
        <w:t xml:space="preserve"> for the interest group literature</w:t>
      </w:r>
      <w:r w:rsidR="00790268" w:rsidRPr="00050DEF">
        <w:rPr>
          <w:rFonts w:ascii="Times New Roman" w:hAnsi="Times New Roman" w:cs="Times New Roman"/>
          <w:sz w:val="24"/>
          <w:szCs w:val="24"/>
          <w:lang w:val="en-GB"/>
        </w:rPr>
        <w:t xml:space="preserve"> (Baumgartner and M</w:t>
      </w:r>
      <w:r w:rsidR="001F46F9" w:rsidRPr="00050DEF">
        <w:rPr>
          <w:rFonts w:ascii="Times New Roman" w:hAnsi="Times New Roman" w:cs="Times New Roman"/>
          <w:sz w:val="24"/>
          <w:szCs w:val="24"/>
          <w:lang w:val="en-GB"/>
        </w:rPr>
        <w:t>a</w:t>
      </w:r>
      <w:r w:rsidR="00790268" w:rsidRPr="00050DEF">
        <w:rPr>
          <w:rFonts w:ascii="Times New Roman" w:hAnsi="Times New Roman" w:cs="Times New Roman"/>
          <w:sz w:val="24"/>
          <w:szCs w:val="24"/>
          <w:lang w:val="en-GB"/>
        </w:rPr>
        <w:t xml:space="preserve">honey 2008: </w:t>
      </w:r>
      <w:r w:rsidR="00AD605D" w:rsidRPr="00050DEF">
        <w:rPr>
          <w:rFonts w:ascii="Times New Roman" w:hAnsi="Times New Roman" w:cs="Times New Roman"/>
          <w:sz w:val="24"/>
          <w:szCs w:val="24"/>
          <w:lang w:val="en-GB"/>
        </w:rPr>
        <w:t xml:space="preserve">436, </w:t>
      </w:r>
      <w:r w:rsidR="00790268" w:rsidRPr="00050DEF">
        <w:rPr>
          <w:rFonts w:ascii="Times New Roman" w:hAnsi="Times New Roman" w:cs="Times New Roman"/>
          <w:sz w:val="24"/>
          <w:szCs w:val="24"/>
          <w:lang w:val="en-GB"/>
        </w:rPr>
        <w:t>445; de Bryucker 2017: 780, 784)</w:t>
      </w:r>
      <w:r w:rsidR="004636DF" w:rsidRPr="00050DEF">
        <w:rPr>
          <w:rFonts w:ascii="Times New Roman" w:hAnsi="Times New Roman" w:cs="Times New Roman"/>
          <w:sz w:val="24"/>
          <w:szCs w:val="24"/>
          <w:lang w:val="en-GB"/>
        </w:rPr>
        <w:t xml:space="preserve">. </w:t>
      </w:r>
    </w:p>
    <w:p w14:paraId="3E1C4EA5" w14:textId="41CB4060" w:rsidR="000510FD" w:rsidRPr="00050DEF" w:rsidRDefault="00E4299C"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In this paper, we investigate how </w:t>
      </w:r>
      <w:r w:rsidR="00734F9C" w:rsidRPr="00050DEF">
        <w:rPr>
          <w:rFonts w:ascii="Times New Roman" w:hAnsi="Times New Roman" w:cs="Times New Roman"/>
          <w:sz w:val="24"/>
          <w:szCs w:val="24"/>
          <w:lang w:val="en-GB"/>
        </w:rPr>
        <w:t>the macro-frame</w:t>
      </w:r>
      <w:r w:rsidR="002D6578" w:rsidRPr="00050DEF">
        <w:rPr>
          <w:rFonts w:ascii="Times New Roman" w:hAnsi="Times New Roman" w:cs="Times New Roman"/>
          <w:sz w:val="24"/>
          <w:szCs w:val="24"/>
          <w:lang w:val="en-GB"/>
        </w:rPr>
        <w:t xml:space="preserve"> on</w:t>
      </w:r>
      <w:r w:rsidR="00734F9C" w:rsidRPr="00050DEF">
        <w:rPr>
          <w:rFonts w:ascii="Times New Roman" w:hAnsi="Times New Roman" w:cs="Times New Roman"/>
          <w:sz w:val="24"/>
          <w:szCs w:val="24"/>
          <w:lang w:val="en-GB"/>
        </w:rPr>
        <w:t xml:space="preserve"> the public agenda affects </w:t>
      </w:r>
      <w:r w:rsidRPr="00050DEF">
        <w:rPr>
          <w:rFonts w:ascii="Times New Roman" w:hAnsi="Times New Roman" w:cs="Times New Roman"/>
          <w:sz w:val="24"/>
          <w:szCs w:val="24"/>
          <w:lang w:val="en-GB"/>
        </w:rPr>
        <w:t>individual interest groups’</w:t>
      </w:r>
      <w:r w:rsidR="00891670" w:rsidRPr="00050DEF">
        <w:rPr>
          <w:rFonts w:ascii="Times New Roman" w:hAnsi="Times New Roman" w:cs="Times New Roman"/>
          <w:sz w:val="24"/>
          <w:szCs w:val="24"/>
          <w:lang w:val="en-GB"/>
        </w:rPr>
        <w:t xml:space="preserve"> micro-framing efforts</w:t>
      </w:r>
      <w:r w:rsidRPr="00050DEF">
        <w:rPr>
          <w:rFonts w:ascii="Times New Roman" w:hAnsi="Times New Roman" w:cs="Times New Roman"/>
          <w:sz w:val="24"/>
          <w:szCs w:val="24"/>
          <w:lang w:val="en-GB"/>
        </w:rPr>
        <w:t xml:space="preserve">. </w:t>
      </w:r>
      <w:r w:rsidR="00734F9C" w:rsidRPr="00050DEF">
        <w:rPr>
          <w:rFonts w:ascii="Times New Roman" w:hAnsi="Times New Roman" w:cs="Times New Roman"/>
          <w:sz w:val="24"/>
          <w:szCs w:val="24"/>
          <w:lang w:val="en-GB"/>
        </w:rPr>
        <w:t xml:space="preserve">More specifically, we ask how an interest group can respond to a change in the macro-frame that goes against the interest group’s goals. </w:t>
      </w:r>
      <w:r w:rsidR="004F266A" w:rsidRPr="00050DEF">
        <w:rPr>
          <w:rFonts w:ascii="Times New Roman" w:hAnsi="Times New Roman" w:cs="Times New Roman"/>
          <w:sz w:val="24"/>
          <w:szCs w:val="24"/>
          <w:lang w:val="en-GB"/>
        </w:rPr>
        <w:t>That is, what do</w:t>
      </w:r>
      <w:r w:rsidR="009473C7" w:rsidRPr="00050DEF">
        <w:rPr>
          <w:rFonts w:ascii="Times New Roman" w:hAnsi="Times New Roman" w:cs="Times New Roman"/>
          <w:sz w:val="24"/>
          <w:szCs w:val="24"/>
          <w:lang w:val="en-GB"/>
        </w:rPr>
        <w:t>es</w:t>
      </w:r>
      <w:r w:rsidR="004F266A" w:rsidRPr="00050DEF">
        <w:rPr>
          <w:rFonts w:ascii="Times New Roman" w:hAnsi="Times New Roman" w:cs="Times New Roman"/>
          <w:sz w:val="24"/>
          <w:szCs w:val="24"/>
          <w:lang w:val="en-GB"/>
        </w:rPr>
        <w:t xml:space="preserve"> an interest group do when it suddenly loses control of how its issue is framed? </w:t>
      </w:r>
      <w:r w:rsidR="002D6578" w:rsidRPr="00050DEF">
        <w:rPr>
          <w:rFonts w:ascii="Times New Roman" w:hAnsi="Times New Roman" w:cs="Times New Roman"/>
          <w:sz w:val="24"/>
          <w:szCs w:val="24"/>
          <w:lang w:val="en-GB"/>
        </w:rPr>
        <w:t xml:space="preserve">To do so, we develop a typology of possible </w:t>
      </w:r>
      <w:r w:rsidR="006316C2" w:rsidRPr="00050DEF">
        <w:rPr>
          <w:rFonts w:ascii="Times New Roman" w:hAnsi="Times New Roman" w:cs="Times New Roman"/>
          <w:sz w:val="24"/>
          <w:szCs w:val="24"/>
          <w:lang w:val="en-GB"/>
        </w:rPr>
        <w:t>communicative</w:t>
      </w:r>
      <w:r w:rsidR="002D6578" w:rsidRPr="00050DEF">
        <w:rPr>
          <w:rFonts w:ascii="Times New Roman" w:hAnsi="Times New Roman" w:cs="Times New Roman"/>
          <w:sz w:val="24"/>
          <w:szCs w:val="24"/>
          <w:lang w:val="en-GB"/>
        </w:rPr>
        <w:t xml:space="preserve"> strategies. </w:t>
      </w:r>
      <w:r w:rsidR="00673862" w:rsidRPr="00050DEF">
        <w:rPr>
          <w:rFonts w:ascii="Times New Roman" w:hAnsi="Times New Roman" w:cs="Times New Roman"/>
          <w:sz w:val="24"/>
          <w:szCs w:val="24"/>
          <w:lang w:val="en-GB"/>
        </w:rPr>
        <w:t>The typology differentiate</w:t>
      </w:r>
      <w:r w:rsidR="00747D97" w:rsidRPr="00050DEF">
        <w:rPr>
          <w:rFonts w:ascii="Times New Roman" w:hAnsi="Times New Roman" w:cs="Times New Roman"/>
          <w:sz w:val="24"/>
          <w:szCs w:val="24"/>
          <w:lang w:val="en-GB"/>
        </w:rPr>
        <w:t>s</w:t>
      </w:r>
      <w:r w:rsidR="00673862" w:rsidRPr="00050DEF">
        <w:rPr>
          <w:rFonts w:ascii="Times New Roman" w:hAnsi="Times New Roman" w:cs="Times New Roman"/>
          <w:sz w:val="24"/>
          <w:szCs w:val="24"/>
          <w:lang w:val="en-GB"/>
        </w:rPr>
        <w:t xml:space="preserve"> between </w:t>
      </w:r>
      <w:r w:rsidR="00673862" w:rsidRPr="00050DEF">
        <w:rPr>
          <w:rFonts w:ascii="Times New Roman" w:hAnsi="Times New Roman" w:cs="Times New Roman"/>
          <w:i/>
          <w:sz w:val="24"/>
          <w:szCs w:val="24"/>
          <w:lang w:val="en-GB"/>
        </w:rPr>
        <w:t>exit</w:t>
      </w:r>
      <w:r w:rsidR="00673862" w:rsidRPr="00050DEF">
        <w:rPr>
          <w:rFonts w:ascii="Times New Roman" w:hAnsi="Times New Roman" w:cs="Times New Roman"/>
          <w:sz w:val="24"/>
          <w:szCs w:val="24"/>
          <w:lang w:val="en-GB"/>
        </w:rPr>
        <w:t xml:space="preserve"> from the public agenda (stopping to communicate altogether), </w:t>
      </w:r>
      <w:r w:rsidR="00673862" w:rsidRPr="00050DEF">
        <w:rPr>
          <w:rFonts w:ascii="Times New Roman" w:hAnsi="Times New Roman" w:cs="Times New Roman"/>
          <w:i/>
          <w:sz w:val="24"/>
          <w:szCs w:val="24"/>
          <w:lang w:val="en-GB"/>
        </w:rPr>
        <w:t>avoidance</w:t>
      </w:r>
      <w:r w:rsidR="00673862" w:rsidRPr="00050DEF">
        <w:rPr>
          <w:rFonts w:ascii="Times New Roman" w:hAnsi="Times New Roman" w:cs="Times New Roman"/>
          <w:sz w:val="24"/>
          <w:szCs w:val="24"/>
          <w:lang w:val="en-GB"/>
        </w:rPr>
        <w:t xml:space="preserve"> (ignoring the unwelcome macro-frame while sticking </w:t>
      </w:r>
      <w:r w:rsidR="00111594" w:rsidRPr="00050DEF">
        <w:rPr>
          <w:rFonts w:ascii="Times New Roman" w:hAnsi="Times New Roman" w:cs="Times New Roman"/>
          <w:sz w:val="24"/>
          <w:szCs w:val="24"/>
          <w:lang w:val="en-GB"/>
        </w:rPr>
        <w:lastRenderedPageBreak/>
        <w:t xml:space="preserve">to </w:t>
      </w:r>
      <w:r w:rsidR="00673862" w:rsidRPr="00050DEF">
        <w:rPr>
          <w:rFonts w:ascii="Times New Roman" w:hAnsi="Times New Roman" w:cs="Times New Roman"/>
          <w:sz w:val="24"/>
          <w:szCs w:val="24"/>
          <w:lang w:val="en-GB"/>
        </w:rPr>
        <w:t xml:space="preserve">the interest group’s preferred frame), </w:t>
      </w:r>
      <w:r w:rsidR="00673862" w:rsidRPr="00050DEF">
        <w:rPr>
          <w:rFonts w:ascii="Times New Roman" w:hAnsi="Times New Roman" w:cs="Times New Roman"/>
          <w:i/>
          <w:sz w:val="24"/>
          <w:szCs w:val="24"/>
          <w:lang w:val="en-GB"/>
        </w:rPr>
        <w:t>rejection</w:t>
      </w:r>
      <w:r w:rsidR="00673862" w:rsidRPr="00050DEF">
        <w:rPr>
          <w:rFonts w:ascii="Times New Roman" w:hAnsi="Times New Roman" w:cs="Times New Roman"/>
          <w:sz w:val="24"/>
          <w:szCs w:val="24"/>
          <w:lang w:val="en-GB"/>
        </w:rPr>
        <w:t xml:space="preserve"> (engaging</w:t>
      </w:r>
      <w:r w:rsidR="008E5CFE" w:rsidRPr="00050DEF">
        <w:rPr>
          <w:rFonts w:ascii="Times New Roman" w:hAnsi="Times New Roman" w:cs="Times New Roman"/>
          <w:sz w:val="24"/>
          <w:szCs w:val="24"/>
          <w:lang w:val="en-GB"/>
        </w:rPr>
        <w:t xml:space="preserve"> with</w:t>
      </w:r>
      <w:r w:rsidR="00673862" w:rsidRPr="00050DEF">
        <w:rPr>
          <w:rFonts w:ascii="Times New Roman" w:hAnsi="Times New Roman" w:cs="Times New Roman"/>
          <w:sz w:val="24"/>
          <w:szCs w:val="24"/>
          <w:lang w:val="en-GB"/>
        </w:rPr>
        <w:t xml:space="preserve"> </w:t>
      </w:r>
      <w:r w:rsidR="00111594" w:rsidRPr="00050DEF">
        <w:rPr>
          <w:rFonts w:ascii="Times New Roman" w:hAnsi="Times New Roman" w:cs="Times New Roman"/>
          <w:sz w:val="24"/>
          <w:szCs w:val="24"/>
          <w:lang w:val="en-GB"/>
        </w:rPr>
        <w:t xml:space="preserve">the unwelcome macro-frame but criticizing it), and </w:t>
      </w:r>
      <w:r w:rsidR="00111594" w:rsidRPr="00050DEF">
        <w:rPr>
          <w:rFonts w:ascii="Times New Roman" w:hAnsi="Times New Roman" w:cs="Times New Roman"/>
          <w:i/>
          <w:sz w:val="24"/>
          <w:szCs w:val="24"/>
          <w:lang w:val="en-GB"/>
        </w:rPr>
        <w:t>acceptance</w:t>
      </w:r>
      <w:r w:rsidR="00111594" w:rsidRPr="00050DEF">
        <w:rPr>
          <w:rFonts w:ascii="Times New Roman" w:hAnsi="Times New Roman" w:cs="Times New Roman"/>
          <w:sz w:val="24"/>
          <w:szCs w:val="24"/>
          <w:lang w:val="en-GB"/>
        </w:rPr>
        <w:t xml:space="preserve"> (engaging </w:t>
      </w:r>
      <w:r w:rsidR="008E5CFE" w:rsidRPr="00050DEF">
        <w:rPr>
          <w:rFonts w:ascii="Times New Roman" w:hAnsi="Times New Roman" w:cs="Times New Roman"/>
          <w:sz w:val="24"/>
          <w:szCs w:val="24"/>
          <w:lang w:val="en-GB"/>
        </w:rPr>
        <w:t xml:space="preserve">with </w:t>
      </w:r>
      <w:r w:rsidR="00111594" w:rsidRPr="00050DEF">
        <w:rPr>
          <w:rFonts w:ascii="Times New Roman" w:hAnsi="Times New Roman" w:cs="Times New Roman"/>
          <w:sz w:val="24"/>
          <w:szCs w:val="24"/>
          <w:lang w:val="en-GB"/>
        </w:rPr>
        <w:t xml:space="preserve">and accepting the unwelcome macro-frame). </w:t>
      </w:r>
    </w:p>
    <w:p w14:paraId="5F01F22C" w14:textId="37788F69" w:rsidR="009E5E34" w:rsidRPr="00050DEF" w:rsidRDefault="00ED7319"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S</w:t>
      </w:r>
      <w:r w:rsidR="0070325D" w:rsidRPr="00050DEF">
        <w:rPr>
          <w:rFonts w:ascii="Times New Roman" w:hAnsi="Times New Roman" w:cs="Times New Roman"/>
          <w:sz w:val="24"/>
          <w:szCs w:val="24"/>
          <w:lang w:val="en-GB"/>
        </w:rPr>
        <w:t>tudents of interest groups distinguish between the use of member-regarding frames and public-regarding frames</w:t>
      </w:r>
      <w:r w:rsidR="00CA222A">
        <w:rPr>
          <w:rFonts w:ascii="Times New Roman" w:hAnsi="Times New Roman" w:cs="Times New Roman"/>
          <w:sz w:val="24"/>
          <w:szCs w:val="24"/>
          <w:lang w:val="en-GB"/>
        </w:rPr>
        <w:t>,</w:t>
      </w:r>
      <w:r w:rsidR="0070325D" w:rsidRPr="00050DEF">
        <w:rPr>
          <w:rFonts w:ascii="Times New Roman" w:hAnsi="Times New Roman" w:cs="Times New Roman"/>
          <w:sz w:val="24"/>
          <w:szCs w:val="24"/>
          <w:lang w:val="en-GB"/>
        </w:rPr>
        <w:t xml:space="preserve"> or issue-specific and generic frames</w:t>
      </w:r>
      <w:r w:rsidR="00832576" w:rsidRPr="00050DEF">
        <w:rPr>
          <w:rFonts w:ascii="Times New Roman" w:hAnsi="Times New Roman" w:cs="Times New Roman"/>
          <w:sz w:val="24"/>
          <w:szCs w:val="24"/>
          <w:lang w:val="en-GB"/>
        </w:rPr>
        <w:t xml:space="preserve"> </w:t>
      </w:r>
      <w:r w:rsidR="00CA222A" w:rsidRPr="00050DEF">
        <w:rPr>
          <w:rFonts w:ascii="Times New Roman" w:hAnsi="Times New Roman" w:cs="Times New Roman"/>
          <w:sz w:val="24"/>
          <w:szCs w:val="24"/>
          <w:lang w:val="en-GB"/>
        </w:rPr>
        <w:t>(Binderkrantz 2019)</w:t>
      </w:r>
      <w:r w:rsidR="009473C7" w:rsidRPr="00050DEF">
        <w:rPr>
          <w:rFonts w:ascii="Times New Roman" w:hAnsi="Times New Roman" w:cs="Times New Roman"/>
          <w:sz w:val="24"/>
          <w:szCs w:val="24"/>
          <w:lang w:val="en-GB"/>
        </w:rPr>
        <w:t xml:space="preserve">. Hence, students of interest groups </w:t>
      </w:r>
      <w:r w:rsidRPr="00050DEF">
        <w:rPr>
          <w:rFonts w:ascii="Times New Roman" w:hAnsi="Times New Roman" w:cs="Times New Roman"/>
          <w:sz w:val="24"/>
          <w:szCs w:val="24"/>
          <w:lang w:val="en-GB"/>
        </w:rPr>
        <w:t xml:space="preserve">show a large interest in how interest groups </w:t>
      </w:r>
      <w:r w:rsidR="009473C7" w:rsidRPr="00050DEF">
        <w:rPr>
          <w:rFonts w:ascii="Times New Roman" w:hAnsi="Times New Roman" w:cs="Times New Roman"/>
          <w:sz w:val="24"/>
          <w:szCs w:val="24"/>
          <w:lang w:val="en-GB"/>
        </w:rPr>
        <w:t xml:space="preserve">use </w:t>
      </w:r>
      <w:r w:rsidRPr="00050DEF">
        <w:rPr>
          <w:rFonts w:ascii="Times New Roman" w:hAnsi="Times New Roman" w:cs="Times New Roman"/>
          <w:sz w:val="24"/>
          <w:szCs w:val="24"/>
          <w:lang w:val="en-GB"/>
        </w:rPr>
        <w:t>fram</w:t>
      </w:r>
      <w:r w:rsidR="009473C7" w:rsidRPr="00050DEF">
        <w:rPr>
          <w:rFonts w:ascii="Times New Roman" w:hAnsi="Times New Roman" w:cs="Times New Roman"/>
          <w:sz w:val="24"/>
          <w:szCs w:val="24"/>
          <w:lang w:val="en-GB"/>
        </w:rPr>
        <w:t>ing to influence policy</w:t>
      </w:r>
      <w:r w:rsidR="0070325D" w:rsidRPr="00050DEF">
        <w:rPr>
          <w:rFonts w:ascii="Times New Roman" w:hAnsi="Times New Roman" w:cs="Times New Roman"/>
          <w:sz w:val="24"/>
          <w:szCs w:val="24"/>
          <w:lang w:val="en-GB"/>
        </w:rPr>
        <w:t xml:space="preserve">. Yet, the literature does not offer a </w:t>
      </w:r>
      <w:r w:rsidR="009E5E34" w:rsidRPr="00050DEF">
        <w:rPr>
          <w:rFonts w:ascii="Times New Roman" w:hAnsi="Times New Roman" w:cs="Times New Roman"/>
          <w:sz w:val="24"/>
          <w:szCs w:val="24"/>
          <w:lang w:val="en-GB"/>
        </w:rPr>
        <w:t xml:space="preserve">typology of micro-framing, </w:t>
      </w:r>
      <w:r w:rsidR="0070325D" w:rsidRPr="00050DEF">
        <w:rPr>
          <w:rFonts w:ascii="Times New Roman" w:hAnsi="Times New Roman" w:cs="Times New Roman"/>
          <w:sz w:val="24"/>
          <w:szCs w:val="24"/>
          <w:lang w:val="en-GB"/>
        </w:rPr>
        <w:t xml:space="preserve">and a </w:t>
      </w:r>
      <w:r w:rsidR="009E5E34" w:rsidRPr="00050DEF">
        <w:rPr>
          <w:rFonts w:ascii="Times New Roman" w:hAnsi="Times New Roman" w:cs="Times New Roman"/>
          <w:sz w:val="24"/>
          <w:szCs w:val="24"/>
          <w:lang w:val="en-GB"/>
        </w:rPr>
        <w:t>theory on how interest groups micro-frame</w:t>
      </w:r>
      <w:r w:rsidR="0070325D" w:rsidRPr="00050DEF">
        <w:rPr>
          <w:rFonts w:ascii="Times New Roman" w:hAnsi="Times New Roman" w:cs="Times New Roman"/>
          <w:sz w:val="24"/>
          <w:szCs w:val="24"/>
          <w:lang w:val="en-GB"/>
        </w:rPr>
        <w:t xml:space="preserve"> is therefore </w:t>
      </w:r>
      <w:r w:rsidR="00AF4ADB" w:rsidRPr="00050DEF">
        <w:rPr>
          <w:rFonts w:ascii="Times New Roman" w:hAnsi="Times New Roman" w:cs="Times New Roman"/>
          <w:sz w:val="24"/>
          <w:szCs w:val="24"/>
          <w:lang w:val="en-GB"/>
        </w:rPr>
        <w:t>missing</w:t>
      </w:r>
      <w:r w:rsidR="009E5E34" w:rsidRPr="00050DEF">
        <w:rPr>
          <w:rFonts w:ascii="Times New Roman" w:hAnsi="Times New Roman" w:cs="Times New Roman"/>
          <w:sz w:val="24"/>
          <w:szCs w:val="24"/>
          <w:lang w:val="en-GB"/>
        </w:rPr>
        <w:t xml:space="preserve">. The aim of this paper is to take a first step towards establishing such </w:t>
      </w:r>
      <w:r w:rsidR="00732A03" w:rsidRPr="00050DEF">
        <w:rPr>
          <w:rFonts w:ascii="Times New Roman" w:hAnsi="Times New Roman" w:cs="Times New Roman"/>
          <w:sz w:val="24"/>
          <w:szCs w:val="24"/>
          <w:lang w:val="en-GB"/>
        </w:rPr>
        <w:t xml:space="preserve">a </w:t>
      </w:r>
      <w:r w:rsidR="009E5E34" w:rsidRPr="00050DEF">
        <w:rPr>
          <w:rFonts w:ascii="Times New Roman" w:hAnsi="Times New Roman" w:cs="Times New Roman"/>
          <w:sz w:val="24"/>
          <w:szCs w:val="24"/>
          <w:lang w:val="en-GB"/>
        </w:rPr>
        <w:t xml:space="preserve">theory. Based on </w:t>
      </w:r>
      <w:r w:rsidR="00414845" w:rsidRPr="00050DEF">
        <w:rPr>
          <w:rFonts w:ascii="Times New Roman" w:hAnsi="Times New Roman" w:cs="Times New Roman"/>
          <w:sz w:val="24"/>
          <w:szCs w:val="24"/>
          <w:lang w:val="en-GB"/>
        </w:rPr>
        <w:t xml:space="preserve">existing theory in the literature on the </w:t>
      </w:r>
      <w:r w:rsidR="009E5E34" w:rsidRPr="00050DEF">
        <w:rPr>
          <w:rFonts w:ascii="Times New Roman" w:hAnsi="Times New Roman" w:cs="Times New Roman"/>
          <w:sz w:val="24"/>
          <w:szCs w:val="24"/>
          <w:lang w:val="en-GB"/>
        </w:rPr>
        <w:t>basic interest</w:t>
      </w:r>
      <w:r w:rsidR="00414845" w:rsidRPr="00050DEF">
        <w:rPr>
          <w:rFonts w:ascii="Times New Roman" w:hAnsi="Times New Roman" w:cs="Times New Roman"/>
          <w:sz w:val="24"/>
          <w:szCs w:val="24"/>
          <w:lang w:val="en-GB"/>
        </w:rPr>
        <w:t>s</w:t>
      </w:r>
      <w:r w:rsidR="009E5E34" w:rsidRPr="00050DEF">
        <w:rPr>
          <w:rFonts w:ascii="Times New Roman" w:hAnsi="Times New Roman" w:cs="Times New Roman"/>
          <w:sz w:val="24"/>
          <w:szCs w:val="24"/>
          <w:lang w:val="en-GB"/>
        </w:rPr>
        <w:t xml:space="preserve"> of interest groups </w:t>
      </w:r>
      <w:r w:rsidR="009E5E34" w:rsidRPr="00050DEF">
        <w:rPr>
          <w:rFonts w:ascii="Times New Roman" w:hAnsi="Times New Roman" w:cs="Times New Roman"/>
          <w:sz w:val="24"/>
          <w:lang w:val="en-GB"/>
        </w:rPr>
        <w:t>(Berkhout 2013)</w:t>
      </w:r>
      <w:r w:rsidR="009E5E34" w:rsidRPr="00050DEF">
        <w:rPr>
          <w:rFonts w:ascii="Times New Roman" w:hAnsi="Times New Roman" w:cs="Times New Roman"/>
          <w:sz w:val="24"/>
          <w:szCs w:val="24"/>
          <w:lang w:val="en-GB"/>
        </w:rPr>
        <w:t xml:space="preserve">, we propose tentative hypotheses on the order in which interest groups use the four types of micro-frame when the macro-frame changes. </w:t>
      </w:r>
    </w:p>
    <w:p w14:paraId="68B460D7" w14:textId="58BEA169" w:rsidR="00250DDC" w:rsidRPr="00050DEF" w:rsidRDefault="001F46F9"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To assess the analytical value of the typology</w:t>
      </w:r>
      <w:r w:rsidR="009E5E34" w:rsidRPr="00050DEF">
        <w:rPr>
          <w:rFonts w:ascii="Times New Roman" w:hAnsi="Times New Roman" w:cs="Times New Roman"/>
          <w:sz w:val="24"/>
          <w:szCs w:val="24"/>
          <w:lang w:val="en-GB"/>
        </w:rPr>
        <w:t xml:space="preserve"> and test the tentative expectations on the sequence of micro-frame response to the macro-frame change</w:t>
      </w:r>
      <w:r w:rsidRPr="00050DEF">
        <w:rPr>
          <w:rFonts w:ascii="Times New Roman" w:hAnsi="Times New Roman" w:cs="Times New Roman"/>
          <w:sz w:val="24"/>
          <w:szCs w:val="24"/>
          <w:lang w:val="en-GB"/>
        </w:rPr>
        <w:t xml:space="preserve">, we conduct a longitudinal study of </w:t>
      </w:r>
      <w:r w:rsidR="009311CF" w:rsidRPr="00050DEF">
        <w:rPr>
          <w:rFonts w:ascii="Times New Roman" w:hAnsi="Times New Roman" w:cs="Times New Roman"/>
          <w:sz w:val="24"/>
          <w:szCs w:val="24"/>
          <w:lang w:val="en-GB"/>
        </w:rPr>
        <w:t xml:space="preserve">the alcohol policy area in Denmark since the 1990s. As we show using an extensive coding of mass media and legislative activities, this area </w:t>
      </w:r>
      <w:r w:rsidRPr="00050DEF">
        <w:rPr>
          <w:rFonts w:ascii="Times New Roman" w:hAnsi="Times New Roman" w:cs="Times New Roman"/>
          <w:sz w:val="24"/>
          <w:szCs w:val="24"/>
          <w:lang w:val="en-GB"/>
        </w:rPr>
        <w:t>has witnessed a clear-cut shift in its macro-frame</w:t>
      </w:r>
      <w:r w:rsidR="00425FE4" w:rsidRPr="00050DEF">
        <w:rPr>
          <w:rFonts w:ascii="Times New Roman" w:hAnsi="Times New Roman" w:cs="Times New Roman"/>
          <w:sz w:val="24"/>
          <w:szCs w:val="24"/>
          <w:lang w:val="en-GB"/>
        </w:rPr>
        <w:t xml:space="preserve"> </w:t>
      </w:r>
      <w:r w:rsidR="00050DEF">
        <w:rPr>
          <w:rFonts w:ascii="Times New Roman" w:hAnsi="Times New Roman" w:cs="Times New Roman"/>
          <w:sz w:val="24"/>
          <w:szCs w:val="24"/>
          <w:lang w:val="en-GB"/>
        </w:rPr>
        <w:t>that</w:t>
      </w:r>
      <w:r w:rsidR="00CE4AFC" w:rsidRPr="00050DEF">
        <w:rPr>
          <w:rFonts w:ascii="Times New Roman" w:hAnsi="Times New Roman" w:cs="Times New Roman"/>
          <w:sz w:val="24"/>
          <w:szCs w:val="24"/>
          <w:lang w:val="en-GB"/>
        </w:rPr>
        <w:t xml:space="preserve"> militates </w:t>
      </w:r>
      <w:r w:rsidR="00425FE4" w:rsidRPr="00050DEF">
        <w:rPr>
          <w:rFonts w:ascii="Times New Roman" w:hAnsi="Times New Roman" w:cs="Times New Roman"/>
          <w:sz w:val="24"/>
          <w:szCs w:val="24"/>
          <w:lang w:val="en-GB"/>
        </w:rPr>
        <w:t xml:space="preserve">against the preferences of </w:t>
      </w:r>
      <w:r w:rsidR="009311CF" w:rsidRPr="00050DEF">
        <w:rPr>
          <w:rFonts w:ascii="Times New Roman" w:hAnsi="Times New Roman" w:cs="Times New Roman"/>
          <w:sz w:val="24"/>
          <w:szCs w:val="24"/>
          <w:lang w:val="en-GB"/>
        </w:rPr>
        <w:t>Danish commercial brewers and their association. This radical break in macro-frame allow</w:t>
      </w:r>
      <w:r w:rsidR="009473C7" w:rsidRPr="00050DEF">
        <w:rPr>
          <w:rFonts w:ascii="Times New Roman" w:hAnsi="Times New Roman" w:cs="Times New Roman"/>
          <w:sz w:val="24"/>
          <w:szCs w:val="24"/>
          <w:lang w:val="en-GB"/>
        </w:rPr>
        <w:t>s</w:t>
      </w:r>
      <w:r w:rsidR="009311CF" w:rsidRPr="00050DEF">
        <w:rPr>
          <w:rFonts w:ascii="Times New Roman" w:hAnsi="Times New Roman" w:cs="Times New Roman"/>
          <w:sz w:val="24"/>
          <w:szCs w:val="24"/>
          <w:lang w:val="en-GB"/>
        </w:rPr>
        <w:t xml:space="preserve"> us to explore – using an encompassing and in-depth coding of press releases – how this </w:t>
      </w:r>
      <w:r w:rsidR="00CE4AFC" w:rsidRPr="00050DEF">
        <w:rPr>
          <w:rFonts w:ascii="Times New Roman" w:hAnsi="Times New Roman" w:cs="Times New Roman"/>
          <w:sz w:val="24"/>
          <w:szCs w:val="24"/>
          <w:lang w:val="en-GB"/>
        </w:rPr>
        <w:t xml:space="preserve">particular </w:t>
      </w:r>
      <w:r w:rsidR="009311CF" w:rsidRPr="00050DEF">
        <w:rPr>
          <w:rFonts w:ascii="Times New Roman" w:hAnsi="Times New Roman" w:cs="Times New Roman"/>
          <w:sz w:val="24"/>
          <w:szCs w:val="24"/>
          <w:lang w:val="en-GB"/>
        </w:rPr>
        <w:t xml:space="preserve">interest group responded. </w:t>
      </w:r>
      <w:r w:rsidR="00CE4AFC" w:rsidRPr="00050DEF">
        <w:rPr>
          <w:rFonts w:ascii="Times New Roman" w:hAnsi="Times New Roman" w:cs="Times New Roman"/>
          <w:sz w:val="24"/>
          <w:szCs w:val="24"/>
          <w:lang w:val="en-GB"/>
        </w:rPr>
        <w:t>It turns out that several communicative strategi</w:t>
      </w:r>
      <w:r w:rsidR="00AE4C82" w:rsidRPr="00050DEF">
        <w:rPr>
          <w:rFonts w:ascii="Times New Roman" w:hAnsi="Times New Roman" w:cs="Times New Roman"/>
          <w:sz w:val="24"/>
          <w:szCs w:val="24"/>
          <w:lang w:val="en-GB"/>
        </w:rPr>
        <w:t>es were employed simultaneously</w:t>
      </w:r>
      <w:r w:rsidR="00CE4AFC" w:rsidRPr="00050DEF">
        <w:rPr>
          <w:rFonts w:ascii="Times New Roman" w:hAnsi="Times New Roman" w:cs="Times New Roman"/>
          <w:sz w:val="24"/>
          <w:szCs w:val="24"/>
          <w:lang w:val="en-GB"/>
        </w:rPr>
        <w:t>.</w:t>
      </w:r>
      <w:r w:rsidR="00AE4C82" w:rsidRPr="00050DEF">
        <w:rPr>
          <w:rFonts w:ascii="Times New Roman" w:hAnsi="Times New Roman" w:cs="Times New Roman"/>
          <w:sz w:val="24"/>
          <w:szCs w:val="24"/>
          <w:lang w:val="en-GB"/>
        </w:rPr>
        <w:t xml:space="preserve"> The initial response was a combination of exit and acceptance, presumably an attempt to create as little fuss as possible by agreeing with the new macro-frame but otherwise staying silent. Subsequently, frame avoidance emerged as the main strategy, arguably revealing an attempt to re-frame the public agenda in a more </w:t>
      </w:r>
      <w:r w:rsidR="000D7CEC" w:rsidRPr="00050DEF">
        <w:rPr>
          <w:rFonts w:ascii="Times New Roman" w:hAnsi="Times New Roman" w:cs="Times New Roman"/>
          <w:sz w:val="24"/>
          <w:szCs w:val="24"/>
          <w:lang w:val="en-GB"/>
        </w:rPr>
        <w:t>agreeable</w:t>
      </w:r>
      <w:r w:rsidR="00AE4C82" w:rsidRPr="00050DEF">
        <w:rPr>
          <w:rFonts w:ascii="Times New Roman" w:hAnsi="Times New Roman" w:cs="Times New Roman"/>
          <w:sz w:val="24"/>
          <w:szCs w:val="24"/>
          <w:lang w:val="en-GB"/>
        </w:rPr>
        <w:t xml:space="preserve"> direction</w:t>
      </w:r>
      <w:r w:rsidR="000D7CEC" w:rsidRPr="00050DEF">
        <w:rPr>
          <w:rFonts w:ascii="Times New Roman" w:hAnsi="Times New Roman" w:cs="Times New Roman"/>
          <w:sz w:val="24"/>
          <w:szCs w:val="24"/>
          <w:lang w:val="en-GB"/>
        </w:rPr>
        <w:t xml:space="preserve"> from the perspective of the brewers and their representatives.</w:t>
      </w:r>
    </w:p>
    <w:p w14:paraId="6AF416A8" w14:textId="27227607" w:rsidR="00FA1B48" w:rsidRPr="00050DEF" w:rsidRDefault="007D69D7"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The paper</w:t>
      </w:r>
      <w:r w:rsidR="00A707C1"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advance</w:t>
      </w:r>
      <w:r w:rsidR="00B7544C"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the interest group literature in at least </w:t>
      </w:r>
      <w:r w:rsidR="00BA7493" w:rsidRPr="00050DEF">
        <w:rPr>
          <w:rFonts w:ascii="Times New Roman" w:hAnsi="Times New Roman" w:cs="Times New Roman"/>
          <w:sz w:val="24"/>
          <w:szCs w:val="24"/>
          <w:lang w:val="en-GB"/>
        </w:rPr>
        <w:t xml:space="preserve">four </w:t>
      </w:r>
      <w:r w:rsidRPr="00050DEF">
        <w:rPr>
          <w:rFonts w:ascii="Times New Roman" w:hAnsi="Times New Roman" w:cs="Times New Roman"/>
          <w:sz w:val="24"/>
          <w:szCs w:val="24"/>
          <w:lang w:val="en-GB"/>
        </w:rPr>
        <w:t>ways</w:t>
      </w:r>
      <w:r w:rsidR="00A707C1" w:rsidRPr="00050DEF">
        <w:rPr>
          <w:rFonts w:ascii="Times New Roman" w:hAnsi="Times New Roman" w:cs="Times New Roman"/>
          <w:sz w:val="24"/>
          <w:szCs w:val="24"/>
          <w:lang w:val="en-GB"/>
        </w:rPr>
        <w:t xml:space="preserve">. First, </w:t>
      </w:r>
      <w:r w:rsidR="00A10062" w:rsidRPr="00050DEF">
        <w:rPr>
          <w:rFonts w:ascii="Times New Roman" w:hAnsi="Times New Roman" w:cs="Times New Roman"/>
          <w:sz w:val="24"/>
          <w:szCs w:val="24"/>
          <w:lang w:val="en-GB"/>
        </w:rPr>
        <w:t>theoretically</w:t>
      </w:r>
      <w:r w:rsidR="00732A03" w:rsidRPr="00050DEF">
        <w:rPr>
          <w:rFonts w:ascii="Times New Roman" w:hAnsi="Times New Roman" w:cs="Times New Roman"/>
          <w:sz w:val="24"/>
          <w:szCs w:val="24"/>
          <w:lang w:val="en-GB"/>
        </w:rPr>
        <w:t>,</w:t>
      </w:r>
      <w:r w:rsidR="00A10062" w:rsidRPr="00050DEF">
        <w:rPr>
          <w:rFonts w:ascii="Times New Roman" w:hAnsi="Times New Roman" w:cs="Times New Roman"/>
          <w:sz w:val="24"/>
          <w:szCs w:val="24"/>
          <w:lang w:val="en-GB"/>
        </w:rPr>
        <w:t xml:space="preserve"> </w:t>
      </w:r>
      <w:r w:rsidR="009445A2" w:rsidRPr="00050DEF">
        <w:rPr>
          <w:rFonts w:ascii="Times New Roman" w:hAnsi="Times New Roman" w:cs="Times New Roman"/>
          <w:sz w:val="24"/>
          <w:szCs w:val="24"/>
          <w:lang w:val="en-GB"/>
        </w:rPr>
        <w:t>the paper</w:t>
      </w:r>
      <w:r w:rsidR="00A707C1" w:rsidRPr="00050DEF">
        <w:rPr>
          <w:rFonts w:ascii="Times New Roman" w:hAnsi="Times New Roman" w:cs="Times New Roman"/>
          <w:sz w:val="24"/>
          <w:szCs w:val="24"/>
          <w:lang w:val="en-GB"/>
        </w:rPr>
        <w:t xml:space="preserve"> provides a new analytical typology to capture the relationship between macro- and micro-framing. The typology is generic </w:t>
      </w:r>
      <w:r w:rsidR="00A10062" w:rsidRPr="00050DEF">
        <w:rPr>
          <w:rFonts w:ascii="Times New Roman" w:hAnsi="Times New Roman" w:cs="Times New Roman"/>
          <w:sz w:val="24"/>
          <w:szCs w:val="24"/>
          <w:lang w:val="en-GB"/>
        </w:rPr>
        <w:t>and applicable to all situations where interest groups operate in a political environment with a public agenda.</w:t>
      </w:r>
      <w:r w:rsidR="00BA49A5" w:rsidRPr="00050DEF">
        <w:rPr>
          <w:rFonts w:ascii="Times New Roman" w:hAnsi="Times New Roman" w:cs="Times New Roman"/>
          <w:sz w:val="24"/>
          <w:szCs w:val="24"/>
          <w:lang w:val="en-GB"/>
        </w:rPr>
        <w:t xml:space="preserve"> </w:t>
      </w:r>
      <w:r w:rsidR="00732A03" w:rsidRPr="00050DEF">
        <w:rPr>
          <w:rFonts w:ascii="Times New Roman" w:hAnsi="Times New Roman" w:cs="Times New Roman"/>
          <w:sz w:val="24"/>
          <w:szCs w:val="24"/>
          <w:lang w:val="en-GB"/>
        </w:rPr>
        <w:t>This</w:t>
      </w:r>
      <w:r w:rsidR="00BA49A5" w:rsidRPr="00050DEF">
        <w:rPr>
          <w:rFonts w:ascii="Times New Roman" w:hAnsi="Times New Roman" w:cs="Times New Roman"/>
          <w:sz w:val="24"/>
          <w:szCs w:val="24"/>
          <w:lang w:val="en-GB"/>
        </w:rPr>
        <w:t xml:space="preserve"> </w:t>
      </w:r>
      <w:r w:rsidR="0013048F" w:rsidRPr="00050DEF">
        <w:rPr>
          <w:rFonts w:ascii="Times New Roman" w:hAnsi="Times New Roman" w:cs="Times New Roman"/>
          <w:sz w:val="24"/>
          <w:szCs w:val="24"/>
          <w:lang w:val="en-GB"/>
        </w:rPr>
        <w:t xml:space="preserve">kind of </w:t>
      </w:r>
      <w:r w:rsidR="00BA49A5" w:rsidRPr="00050DEF">
        <w:rPr>
          <w:rFonts w:ascii="Times New Roman" w:hAnsi="Times New Roman" w:cs="Times New Roman"/>
          <w:sz w:val="24"/>
          <w:szCs w:val="24"/>
          <w:lang w:val="en-GB"/>
        </w:rPr>
        <w:t xml:space="preserve">typology is much </w:t>
      </w:r>
      <w:r w:rsidR="00BA7493" w:rsidRPr="00050DEF">
        <w:rPr>
          <w:rFonts w:ascii="Times New Roman" w:hAnsi="Times New Roman" w:cs="Times New Roman"/>
          <w:sz w:val="24"/>
          <w:szCs w:val="24"/>
          <w:lang w:val="en-GB"/>
        </w:rPr>
        <w:t xml:space="preserve">used </w:t>
      </w:r>
      <w:r w:rsidR="00BA49A5" w:rsidRPr="00050DEF">
        <w:rPr>
          <w:rFonts w:ascii="Times New Roman" w:hAnsi="Times New Roman" w:cs="Times New Roman"/>
          <w:sz w:val="24"/>
          <w:szCs w:val="24"/>
          <w:lang w:val="en-GB"/>
        </w:rPr>
        <w:t>in party politics research</w:t>
      </w:r>
      <w:r w:rsidR="00DB1CDB" w:rsidRPr="00050DEF">
        <w:rPr>
          <w:rFonts w:ascii="Times New Roman" w:hAnsi="Times New Roman" w:cs="Times New Roman"/>
          <w:sz w:val="24"/>
          <w:szCs w:val="24"/>
          <w:lang w:val="en-GB"/>
        </w:rPr>
        <w:t xml:space="preserve"> (see</w:t>
      </w:r>
      <w:r w:rsidR="00920480" w:rsidRPr="00050DEF">
        <w:rPr>
          <w:rFonts w:ascii="Times New Roman" w:hAnsi="Times New Roman" w:cs="Times New Roman"/>
          <w:sz w:val="24"/>
          <w:szCs w:val="24"/>
          <w:lang w:val="en-GB"/>
        </w:rPr>
        <w:t>, e.g.,</w:t>
      </w:r>
      <w:r w:rsidR="00DB1CDB" w:rsidRPr="00050DEF">
        <w:rPr>
          <w:rFonts w:ascii="Times New Roman" w:hAnsi="Times New Roman" w:cs="Times New Roman"/>
          <w:sz w:val="24"/>
          <w:szCs w:val="24"/>
          <w:lang w:val="en-GB"/>
        </w:rPr>
        <w:t xml:space="preserve"> Bale </w:t>
      </w:r>
      <w:r w:rsidR="00DB1CDB" w:rsidRPr="00E924E9">
        <w:rPr>
          <w:rFonts w:ascii="Times New Roman" w:hAnsi="Times New Roman" w:cs="Times New Roman"/>
          <w:iCs/>
          <w:sz w:val="24"/>
          <w:szCs w:val="24"/>
          <w:lang w:val="en-GB"/>
        </w:rPr>
        <w:t>et al.</w:t>
      </w:r>
      <w:r w:rsidR="00DB1CDB" w:rsidRPr="00050DEF">
        <w:rPr>
          <w:rFonts w:ascii="Times New Roman" w:hAnsi="Times New Roman" w:cs="Times New Roman"/>
          <w:sz w:val="24"/>
          <w:szCs w:val="24"/>
          <w:lang w:val="en-GB"/>
        </w:rPr>
        <w:t xml:space="preserve"> 2010; Meguid 2008)</w:t>
      </w:r>
      <w:r w:rsidR="00BA7493" w:rsidRPr="00050DEF">
        <w:rPr>
          <w:rFonts w:ascii="Times New Roman" w:hAnsi="Times New Roman" w:cs="Times New Roman"/>
          <w:sz w:val="24"/>
          <w:szCs w:val="24"/>
          <w:lang w:val="en-GB"/>
        </w:rPr>
        <w:t xml:space="preserve"> but only little </w:t>
      </w:r>
      <w:r w:rsidR="00BA49A5" w:rsidRPr="00050DEF">
        <w:rPr>
          <w:rFonts w:ascii="Times New Roman" w:hAnsi="Times New Roman" w:cs="Times New Roman"/>
          <w:sz w:val="24"/>
          <w:szCs w:val="24"/>
          <w:lang w:val="en-GB"/>
        </w:rPr>
        <w:t>in interest group research</w:t>
      </w:r>
      <w:r w:rsidR="009E5E34" w:rsidRPr="00050DEF">
        <w:rPr>
          <w:rFonts w:ascii="Times New Roman" w:hAnsi="Times New Roman" w:cs="Times New Roman"/>
          <w:sz w:val="24"/>
          <w:szCs w:val="24"/>
          <w:lang w:val="en-GB"/>
        </w:rPr>
        <w:t>,</w:t>
      </w:r>
      <w:r w:rsidR="00BA7493" w:rsidRPr="00050DEF">
        <w:rPr>
          <w:rFonts w:ascii="Times New Roman" w:hAnsi="Times New Roman" w:cs="Times New Roman"/>
          <w:sz w:val="24"/>
          <w:szCs w:val="24"/>
          <w:lang w:val="en-GB"/>
        </w:rPr>
        <w:t xml:space="preserve"> even if parties and interest groups often face the</w:t>
      </w:r>
      <w:r w:rsidR="009E5E34" w:rsidRPr="00050DEF">
        <w:rPr>
          <w:rFonts w:ascii="Times New Roman" w:hAnsi="Times New Roman" w:cs="Times New Roman"/>
          <w:sz w:val="24"/>
          <w:szCs w:val="24"/>
          <w:lang w:val="en-GB"/>
        </w:rPr>
        <w:t xml:space="preserve"> exact</w:t>
      </w:r>
      <w:r w:rsidR="00BA7493" w:rsidRPr="00050DEF">
        <w:rPr>
          <w:rFonts w:ascii="Times New Roman" w:hAnsi="Times New Roman" w:cs="Times New Roman"/>
          <w:sz w:val="24"/>
          <w:szCs w:val="24"/>
          <w:lang w:val="en-GB"/>
        </w:rPr>
        <w:t xml:space="preserve"> same challenges from the macro-frame</w:t>
      </w:r>
      <w:r w:rsidR="00920480" w:rsidRPr="00050DEF">
        <w:rPr>
          <w:rFonts w:ascii="Times New Roman" w:hAnsi="Times New Roman" w:cs="Times New Roman"/>
          <w:sz w:val="24"/>
          <w:szCs w:val="24"/>
          <w:lang w:val="en-GB"/>
        </w:rPr>
        <w:t>.</w:t>
      </w:r>
      <w:r w:rsidR="00BA49A5" w:rsidRPr="00050DEF">
        <w:rPr>
          <w:rFonts w:ascii="Times New Roman" w:hAnsi="Times New Roman" w:cs="Times New Roman"/>
          <w:sz w:val="24"/>
          <w:szCs w:val="24"/>
          <w:lang w:val="en-GB"/>
        </w:rPr>
        <w:t xml:space="preserve"> </w:t>
      </w:r>
      <w:r w:rsidR="00C97BFB" w:rsidRPr="00050DEF">
        <w:rPr>
          <w:rFonts w:ascii="Times New Roman" w:hAnsi="Times New Roman" w:cs="Times New Roman"/>
          <w:sz w:val="24"/>
          <w:szCs w:val="24"/>
          <w:lang w:val="en-GB"/>
        </w:rPr>
        <w:t xml:space="preserve">Like interest groups, </w:t>
      </w:r>
      <w:r w:rsidR="00BA49A5" w:rsidRPr="00050DEF">
        <w:rPr>
          <w:rFonts w:ascii="Times New Roman" w:hAnsi="Times New Roman" w:cs="Times New Roman"/>
          <w:sz w:val="24"/>
          <w:szCs w:val="24"/>
          <w:lang w:val="en-GB"/>
        </w:rPr>
        <w:t>parties frequently have to respond to changes to the macro-framing</w:t>
      </w:r>
      <w:r w:rsidR="00C97BFB" w:rsidRPr="00050DEF">
        <w:rPr>
          <w:rFonts w:ascii="Times New Roman" w:hAnsi="Times New Roman" w:cs="Times New Roman"/>
          <w:sz w:val="24"/>
          <w:szCs w:val="24"/>
          <w:lang w:val="en-GB"/>
        </w:rPr>
        <w:t>, and these typologies have been developed to understand this process</w:t>
      </w:r>
      <w:r w:rsidR="00BA49A5" w:rsidRPr="00050DEF">
        <w:rPr>
          <w:rFonts w:ascii="Times New Roman" w:hAnsi="Times New Roman" w:cs="Times New Roman"/>
          <w:sz w:val="24"/>
          <w:szCs w:val="24"/>
          <w:lang w:val="en-GB"/>
        </w:rPr>
        <w:t>.</w:t>
      </w:r>
      <w:r w:rsidR="00C97BFB" w:rsidRPr="00050DEF">
        <w:rPr>
          <w:rFonts w:ascii="Times New Roman" w:hAnsi="Times New Roman" w:cs="Times New Roman"/>
          <w:sz w:val="24"/>
          <w:szCs w:val="24"/>
          <w:lang w:val="en-GB"/>
        </w:rPr>
        <w:t xml:space="preserve"> </w:t>
      </w:r>
      <w:r w:rsidR="000606F3" w:rsidRPr="00050DEF">
        <w:rPr>
          <w:rFonts w:ascii="Times New Roman" w:hAnsi="Times New Roman" w:cs="Times New Roman"/>
          <w:sz w:val="24"/>
          <w:szCs w:val="24"/>
          <w:lang w:val="en-GB"/>
        </w:rPr>
        <w:t>Our</w:t>
      </w:r>
      <w:r w:rsidR="00E552B8" w:rsidRPr="00050DEF">
        <w:rPr>
          <w:rFonts w:ascii="Times New Roman" w:hAnsi="Times New Roman" w:cs="Times New Roman"/>
          <w:sz w:val="24"/>
          <w:szCs w:val="24"/>
          <w:lang w:val="en-GB"/>
        </w:rPr>
        <w:t xml:space="preserve"> typology </w:t>
      </w:r>
      <w:r w:rsidR="00244221" w:rsidRPr="00050DEF">
        <w:rPr>
          <w:rFonts w:ascii="Times New Roman" w:hAnsi="Times New Roman" w:cs="Times New Roman"/>
          <w:sz w:val="24"/>
          <w:szCs w:val="24"/>
          <w:lang w:val="en-GB"/>
        </w:rPr>
        <w:t xml:space="preserve">draws on but also </w:t>
      </w:r>
      <w:r w:rsidR="00E552B8" w:rsidRPr="00050DEF">
        <w:rPr>
          <w:rFonts w:ascii="Times New Roman" w:hAnsi="Times New Roman" w:cs="Times New Roman"/>
          <w:sz w:val="24"/>
          <w:szCs w:val="24"/>
          <w:lang w:val="en-GB"/>
        </w:rPr>
        <w:t>moves beyond the classic distinction in existing interest group research of opposing frames based on private vs public interests (see Binderkrantz 2019).</w:t>
      </w:r>
      <w:r w:rsidR="00FA1B48" w:rsidRPr="00050DEF">
        <w:rPr>
          <w:rFonts w:ascii="Times New Roman" w:hAnsi="Times New Roman" w:cs="Times New Roman"/>
          <w:sz w:val="24"/>
          <w:szCs w:val="24"/>
          <w:lang w:val="en-GB"/>
        </w:rPr>
        <w:t xml:space="preserve"> </w:t>
      </w:r>
      <w:r w:rsidR="00C97BFB" w:rsidRPr="00050DEF">
        <w:rPr>
          <w:rFonts w:ascii="Times New Roman" w:hAnsi="Times New Roman" w:cs="Times New Roman"/>
          <w:sz w:val="24"/>
          <w:szCs w:val="24"/>
          <w:lang w:val="en-GB"/>
        </w:rPr>
        <w:t>Inspired by th</w:t>
      </w:r>
      <w:r w:rsidR="00F3678B" w:rsidRPr="00050DEF">
        <w:rPr>
          <w:rFonts w:ascii="Times New Roman" w:hAnsi="Times New Roman" w:cs="Times New Roman"/>
          <w:sz w:val="24"/>
          <w:szCs w:val="24"/>
          <w:lang w:val="en-GB"/>
        </w:rPr>
        <w:t>ese typologies from party research</w:t>
      </w:r>
      <w:r w:rsidR="00C97BFB" w:rsidRPr="00050DEF">
        <w:rPr>
          <w:rFonts w:ascii="Times New Roman" w:hAnsi="Times New Roman" w:cs="Times New Roman"/>
          <w:sz w:val="24"/>
          <w:szCs w:val="24"/>
          <w:lang w:val="en-GB"/>
        </w:rPr>
        <w:t xml:space="preserve">, we sketch a typology to understand interest groups. </w:t>
      </w:r>
    </w:p>
    <w:p w14:paraId="31162338" w14:textId="77777777" w:rsidR="00BA7493" w:rsidRPr="00050DEF" w:rsidRDefault="00A10062"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Second, </w:t>
      </w:r>
      <w:r w:rsidR="0052426D" w:rsidRPr="00050DEF">
        <w:rPr>
          <w:rFonts w:ascii="Times New Roman" w:hAnsi="Times New Roman" w:cs="Times New Roman"/>
          <w:sz w:val="24"/>
          <w:szCs w:val="24"/>
          <w:lang w:val="en-GB"/>
        </w:rPr>
        <w:t>theoretically, the paper tentatively test</w:t>
      </w:r>
      <w:r w:rsidR="000606F3" w:rsidRPr="00050DEF">
        <w:rPr>
          <w:rFonts w:ascii="Times New Roman" w:hAnsi="Times New Roman" w:cs="Times New Roman"/>
          <w:sz w:val="24"/>
          <w:szCs w:val="24"/>
          <w:lang w:val="en-GB"/>
        </w:rPr>
        <w:t>s</w:t>
      </w:r>
      <w:r w:rsidR="0052426D" w:rsidRPr="00050DEF">
        <w:rPr>
          <w:rFonts w:ascii="Times New Roman" w:hAnsi="Times New Roman" w:cs="Times New Roman"/>
          <w:sz w:val="24"/>
          <w:szCs w:val="24"/>
          <w:lang w:val="en-GB"/>
        </w:rPr>
        <w:t xml:space="preserve"> expectations on the sequence of the micro-frame response to the macro-frame change based on the basic interests of interest groups </w:t>
      </w:r>
      <w:r w:rsidR="0052426D" w:rsidRPr="00050DEF">
        <w:rPr>
          <w:rFonts w:ascii="Times New Roman" w:hAnsi="Times New Roman" w:cs="Times New Roman"/>
          <w:sz w:val="24"/>
          <w:lang w:val="en-GB"/>
        </w:rPr>
        <w:t>(Berkhout 2013)</w:t>
      </w:r>
      <w:r w:rsidR="0052426D" w:rsidRPr="00050DEF">
        <w:rPr>
          <w:rFonts w:ascii="Times New Roman" w:hAnsi="Times New Roman" w:cs="Times New Roman"/>
          <w:sz w:val="24"/>
          <w:szCs w:val="24"/>
          <w:lang w:val="en-GB"/>
        </w:rPr>
        <w:t xml:space="preserve">. </w:t>
      </w:r>
      <w:r w:rsidR="004076E0" w:rsidRPr="00050DEF">
        <w:rPr>
          <w:rFonts w:ascii="Times New Roman" w:hAnsi="Times New Roman" w:cs="Times New Roman"/>
          <w:sz w:val="24"/>
          <w:szCs w:val="24"/>
          <w:lang w:val="en-GB"/>
        </w:rPr>
        <w:t xml:space="preserve">Such </w:t>
      </w:r>
      <w:r w:rsidR="00734368" w:rsidRPr="00050DEF">
        <w:rPr>
          <w:rFonts w:ascii="Times New Roman" w:hAnsi="Times New Roman" w:cs="Times New Roman"/>
          <w:sz w:val="24"/>
          <w:szCs w:val="24"/>
          <w:lang w:val="en-GB"/>
        </w:rPr>
        <w:t xml:space="preserve">an </w:t>
      </w:r>
      <w:r w:rsidR="004076E0" w:rsidRPr="00050DEF">
        <w:rPr>
          <w:rFonts w:ascii="Times New Roman" w:hAnsi="Times New Roman" w:cs="Times New Roman"/>
          <w:sz w:val="24"/>
          <w:szCs w:val="24"/>
          <w:lang w:val="en-GB"/>
        </w:rPr>
        <w:t xml:space="preserve">exercise </w:t>
      </w:r>
      <w:r w:rsidR="0052426D" w:rsidRPr="00050DEF">
        <w:rPr>
          <w:rFonts w:ascii="Times New Roman" w:hAnsi="Times New Roman" w:cs="Times New Roman"/>
          <w:sz w:val="24"/>
          <w:szCs w:val="24"/>
          <w:lang w:val="en-GB"/>
        </w:rPr>
        <w:t xml:space="preserve">is possible through the </w:t>
      </w:r>
      <w:r w:rsidR="004076E0" w:rsidRPr="00050DEF">
        <w:rPr>
          <w:rFonts w:ascii="Times New Roman" w:hAnsi="Times New Roman" w:cs="Times New Roman"/>
          <w:sz w:val="24"/>
          <w:szCs w:val="24"/>
          <w:lang w:val="en-GB"/>
        </w:rPr>
        <w:t xml:space="preserve">abrupt change in the macro-frame. </w:t>
      </w:r>
    </w:p>
    <w:p w14:paraId="3951DC4F" w14:textId="77777777" w:rsidR="00FA1B48" w:rsidRPr="00050DEF" w:rsidRDefault="0052426D"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Third, </w:t>
      </w:r>
      <w:r w:rsidR="00A10062" w:rsidRPr="00050DEF">
        <w:rPr>
          <w:rFonts w:ascii="Times New Roman" w:hAnsi="Times New Roman" w:cs="Times New Roman"/>
          <w:sz w:val="24"/>
          <w:szCs w:val="24"/>
          <w:lang w:val="en-GB"/>
        </w:rPr>
        <w:t>methodically</w:t>
      </w:r>
      <w:r w:rsidR="00734368" w:rsidRPr="00050DEF">
        <w:rPr>
          <w:rFonts w:ascii="Times New Roman" w:hAnsi="Times New Roman" w:cs="Times New Roman"/>
          <w:sz w:val="24"/>
          <w:szCs w:val="24"/>
          <w:lang w:val="en-GB"/>
        </w:rPr>
        <w:t>,</w:t>
      </w:r>
      <w:r w:rsidR="009445A2" w:rsidRPr="00050DEF">
        <w:rPr>
          <w:rFonts w:ascii="Times New Roman" w:hAnsi="Times New Roman" w:cs="Times New Roman"/>
          <w:sz w:val="24"/>
          <w:szCs w:val="24"/>
          <w:lang w:val="en-GB"/>
        </w:rPr>
        <w:t xml:space="preserve"> the paper</w:t>
      </w:r>
      <w:r w:rsidR="00A10062" w:rsidRPr="00050DEF">
        <w:rPr>
          <w:rFonts w:ascii="Times New Roman" w:hAnsi="Times New Roman" w:cs="Times New Roman"/>
          <w:sz w:val="24"/>
          <w:szCs w:val="24"/>
          <w:lang w:val="en-GB"/>
        </w:rPr>
        <w:t xml:space="preserve"> highlights the importance of an in-depth coding of both the macro-frame and interest groups’ micro-frame – and of coding data across a relatively long period. Without a detailed coding, it is not possible to distinguish between the various </w:t>
      </w:r>
      <w:r w:rsidR="007D69D7" w:rsidRPr="00050DEF">
        <w:rPr>
          <w:rFonts w:ascii="Times New Roman" w:hAnsi="Times New Roman" w:cs="Times New Roman"/>
          <w:sz w:val="24"/>
          <w:szCs w:val="24"/>
          <w:lang w:val="en-GB"/>
        </w:rPr>
        <w:t xml:space="preserve">communicative strategies, while the long timeframe allows </w:t>
      </w:r>
      <w:r w:rsidR="00734368" w:rsidRPr="00050DEF">
        <w:rPr>
          <w:rFonts w:ascii="Times New Roman" w:hAnsi="Times New Roman" w:cs="Times New Roman"/>
          <w:sz w:val="24"/>
          <w:szCs w:val="24"/>
          <w:lang w:val="en-GB"/>
        </w:rPr>
        <w:t xml:space="preserve">for </w:t>
      </w:r>
      <w:r w:rsidR="007D69D7" w:rsidRPr="00050DEF">
        <w:rPr>
          <w:rFonts w:ascii="Times New Roman" w:hAnsi="Times New Roman" w:cs="Times New Roman"/>
          <w:sz w:val="24"/>
          <w:szCs w:val="24"/>
          <w:lang w:val="en-GB"/>
        </w:rPr>
        <w:t xml:space="preserve">an analysis of the effects of </w:t>
      </w:r>
      <w:r w:rsidR="007D69D7" w:rsidRPr="00050DEF">
        <w:rPr>
          <w:rFonts w:ascii="Times New Roman" w:hAnsi="Times New Roman" w:cs="Times New Roman"/>
          <w:i/>
          <w:sz w:val="24"/>
          <w:szCs w:val="24"/>
          <w:lang w:val="en-GB"/>
        </w:rPr>
        <w:t>changes</w:t>
      </w:r>
      <w:r w:rsidR="007D69D7" w:rsidRPr="00050DEF">
        <w:rPr>
          <w:rFonts w:ascii="Times New Roman" w:hAnsi="Times New Roman" w:cs="Times New Roman"/>
          <w:sz w:val="24"/>
          <w:szCs w:val="24"/>
          <w:lang w:val="en-GB"/>
        </w:rPr>
        <w:t xml:space="preserve"> in macro-frames</w:t>
      </w:r>
      <w:r w:rsidR="009445A2" w:rsidRPr="00050DEF">
        <w:rPr>
          <w:rFonts w:ascii="Times New Roman" w:hAnsi="Times New Roman" w:cs="Times New Roman"/>
          <w:sz w:val="24"/>
          <w:szCs w:val="24"/>
          <w:lang w:val="en-GB"/>
        </w:rPr>
        <w:t xml:space="preserve"> on </w:t>
      </w:r>
      <w:r w:rsidR="009445A2" w:rsidRPr="00050DEF">
        <w:rPr>
          <w:rFonts w:ascii="Times New Roman" w:hAnsi="Times New Roman" w:cs="Times New Roman"/>
          <w:i/>
          <w:sz w:val="24"/>
          <w:szCs w:val="24"/>
          <w:lang w:val="en-GB"/>
        </w:rPr>
        <w:t>changes</w:t>
      </w:r>
      <w:r w:rsidR="009445A2" w:rsidRPr="00050DEF">
        <w:rPr>
          <w:rFonts w:ascii="Times New Roman" w:hAnsi="Times New Roman" w:cs="Times New Roman"/>
          <w:sz w:val="24"/>
          <w:szCs w:val="24"/>
          <w:lang w:val="en-GB"/>
        </w:rPr>
        <w:t xml:space="preserve"> in micro-frames</w:t>
      </w:r>
      <w:r w:rsidR="007D69D7" w:rsidRPr="00050DEF">
        <w:rPr>
          <w:rFonts w:ascii="Times New Roman" w:hAnsi="Times New Roman" w:cs="Times New Roman"/>
          <w:sz w:val="24"/>
          <w:szCs w:val="24"/>
          <w:lang w:val="en-GB"/>
        </w:rPr>
        <w:t xml:space="preserve">. </w:t>
      </w:r>
    </w:p>
    <w:p w14:paraId="147D88AF" w14:textId="4C66A9BD" w:rsidR="00A707C1" w:rsidRPr="00050DEF" w:rsidRDefault="0052426D"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Last</w:t>
      </w:r>
      <w:r w:rsidR="007D69D7" w:rsidRPr="00050DEF">
        <w:rPr>
          <w:rFonts w:ascii="Times New Roman" w:hAnsi="Times New Roman" w:cs="Times New Roman"/>
          <w:sz w:val="24"/>
          <w:szCs w:val="24"/>
          <w:lang w:val="en-GB"/>
        </w:rPr>
        <w:t>, substantially</w:t>
      </w:r>
      <w:r w:rsidR="00734368" w:rsidRPr="00050DEF">
        <w:rPr>
          <w:rFonts w:ascii="Times New Roman" w:hAnsi="Times New Roman" w:cs="Times New Roman"/>
          <w:sz w:val="24"/>
          <w:szCs w:val="24"/>
          <w:lang w:val="en-GB"/>
        </w:rPr>
        <w:t>,</w:t>
      </w:r>
      <w:r w:rsidR="009445A2" w:rsidRPr="00050DEF">
        <w:rPr>
          <w:rFonts w:ascii="Times New Roman" w:hAnsi="Times New Roman" w:cs="Times New Roman"/>
          <w:sz w:val="24"/>
          <w:szCs w:val="24"/>
          <w:lang w:val="en-GB"/>
        </w:rPr>
        <w:t xml:space="preserve"> the paper shows how macro-frames have a pervasive impact on individual interest groups – but also </w:t>
      </w:r>
      <w:r w:rsidR="004A1E04" w:rsidRPr="00050DEF">
        <w:rPr>
          <w:rFonts w:ascii="Times New Roman" w:hAnsi="Times New Roman" w:cs="Times New Roman"/>
          <w:sz w:val="24"/>
          <w:szCs w:val="24"/>
          <w:lang w:val="en-GB"/>
        </w:rPr>
        <w:t>that this does not imply that the interest groups are left as passive frame</w:t>
      </w:r>
      <w:r w:rsidR="00734368" w:rsidRPr="00050DEF">
        <w:rPr>
          <w:rFonts w:ascii="Times New Roman" w:hAnsi="Times New Roman" w:cs="Times New Roman"/>
          <w:sz w:val="24"/>
          <w:szCs w:val="24"/>
          <w:lang w:val="en-GB"/>
        </w:rPr>
        <w:t xml:space="preserve"> </w:t>
      </w:r>
      <w:r w:rsidR="004A1E04" w:rsidRPr="00050DEF">
        <w:rPr>
          <w:rFonts w:ascii="Times New Roman" w:hAnsi="Times New Roman" w:cs="Times New Roman"/>
          <w:sz w:val="24"/>
          <w:szCs w:val="24"/>
          <w:lang w:val="en-GB"/>
        </w:rPr>
        <w:t xml:space="preserve">takers. Rather, changing macro-frames initiate a flurry of communicative responses </w:t>
      </w:r>
      <w:r w:rsidR="00050DEF">
        <w:rPr>
          <w:rFonts w:ascii="Times New Roman" w:hAnsi="Times New Roman" w:cs="Times New Roman"/>
          <w:sz w:val="24"/>
          <w:szCs w:val="24"/>
          <w:lang w:val="en-GB"/>
        </w:rPr>
        <w:t>that</w:t>
      </w:r>
      <w:r w:rsidR="004A1E04" w:rsidRPr="00050DEF">
        <w:rPr>
          <w:rFonts w:ascii="Times New Roman" w:hAnsi="Times New Roman" w:cs="Times New Roman"/>
          <w:sz w:val="24"/>
          <w:szCs w:val="24"/>
          <w:lang w:val="en-GB"/>
        </w:rPr>
        <w:t xml:space="preserve"> all make sense from the perspective of an influence-seeking interest group.</w:t>
      </w:r>
    </w:p>
    <w:p w14:paraId="2EF16E14" w14:textId="77777777" w:rsidR="00ED2D15" w:rsidRPr="00050DEF" w:rsidRDefault="00ED2D15" w:rsidP="00633FCF">
      <w:pPr>
        <w:spacing w:after="0" w:line="480" w:lineRule="auto"/>
        <w:rPr>
          <w:rFonts w:ascii="Times New Roman" w:hAnsi="Times New Roman" w:cs="Times New Roman"/>
          <w:sz w:val="24"/>
          <w:szCs w:val="24"/>
          <w:lang w:val="en-GB"/>
        </w:rPr>
      </w:pPr>
    </w:p>
    <w:p w14:paraId="7F18BA32" w14:textId="77777777" w:rsidR="00ED2D15" w:rsidRPr="00050DEF" w:rsidRDefault="006A79CC" w:rsidP="00633FCF">
      <w:pPr>
        <w:spacing w:after="0" w:line="480" w:lineRule="auto"/>
        <w:rPr>
          <w:rFonts w:ascii="Times New Roman" w:hAnsi="Times New Roman" w:cs="Times New Roman"/>
          <w:b/>
          <w:sz w:val="24"/>
          <w:szCs w:val="24"/>
          <w:lang w:val="en-GB"/>
        </w:rPr>
      </w:pPr>
      <w:r w:rsidRPr="00050DEF">
        <w:rPr>
          <w:rFonts w:ascii="Times New Roman" w:hAnsi="Times New Roman" w:cs="Times New Roman"/>
          <w:b/>
          <w:sz w:val="24"/>
          <w:szCs w:val="24"/>
          <w:lang w:val="en-GB"/>
        </w:rPr>
        <w:t>Framing and interest groups</w:t>
      </w:r>
    </w:p>
    <w:p w14:paraId="72AC148F" w14:textId="198A9998" w:rsidR="006A79CC" w:rsidRPr="00050DEF" w:rsidRDefault="009640C1"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conventional definition of </w:t>
      </w:r>
      <w:r w:rsidR="0016697B" w:rsidRPr="00050DEF">
        <w:rPr>
          <w:rFonts w:ascii="Times New Roman" w:hAnsi="Times New Roman" w:cs="Times New Roman"/>
          <w:sz w:val="24"/>
          <w:szCs w:val="24"/>
          <w:lang w:val="en-GB"/>
        </w:rPr>
        <w:t>a frame</w:t>
      </w:r>
      <w:r w:rsidRPr="00050DEF">
        <w:rPr>
          <w:rFonts w:ascii="Times New Roman" w:hAnsi="Times New Roman" w:cs="Times New Roman"/>
          <w:sz w:val="24"/>
          <w:szCs w:val="24"/>
          <w:lang w:val="en-GB"/>
        </w:rPr>
        <w:t xml:space="preserve"> comes from Entman</w:t>
      </w:r>
      <w:r w:rsidR="00D66B25" w:rsidRPr="00050DEF">
        <w:rPr>
          <w:rFonts w:ascii="Times New Roman" w:hAnsi="Times New Roman" w:cs="Times New Roman"/>
          <w:sz w:val="24"/>
          <w:szCs w:val="24"/>
          <w:lang w:val="en-GB"/>
        </w:rPr>
        <w:t xml:space="preserve"> </w:t>
      </w:r>
      <w:r w:rsidR="00D66B25" w:rsidRPr="00050DEF">
        <w:rPr>
          <w:rFonts w:ascii="Times New Roman" w:hAnsi="Times New Roman" w:cs="Times New Roman"/>
          <w:sz w:val="24"/>
          <w:lang w:val="en-GB"/>
        </w:rPr>
        <w:t>(1993: 53)</w:t>
      </w:r>
      <w:r w:rsidR="008C2BC1" w:rsidRPr="00050DEF">
        <w:rPr>
          <w:rFonts w:ascii="Times New Roman" w:hAnsi="Times New Roman" w:cs="Times New Roman"/>
          <w:sz w:val="24"/>
          <w:szCs w:val="24"/>
          <w:lang w:val="en-GB"/>
        </w:rPr>
        <w:t>:</w:t>
      </w:r>
    </w:p>
    <w:p w14:paraId="4E9DB0A7" w14:textId="77777777" w:rsidR="006A79CC" w:rsidRPr="00050DEF" w:rsidRDefault="006A79CC" w:rsidP="00633FCF">
      <w:pPr>
        <w:spacing w:after="0" w:line="480" w:lineRule="auto"/>
        <w:rPr>
          <w:rFonts w:ascii="Times New Roman" w:hAnsi="Times New Roman" w:cs="Times New Roman"/>
          <w:sz w:val="24"/>
          <w:szCs w:val="24"/>
          <w:lang w:val="en-GB"/>
        </w:rPr>
      </w:pPr>
    </w:p>
    <w:p w14:paraId="128ED681" w14:textId="4540F691" w:rsidR="006A79CC" w:rsidRPr="00050DEF" w:rsidRDefault="006A79CC" w:rsidP="00633FCF">
      <w:pPr>
        <w:spacing w:after="0" w:line="480" w:lineRule="auto"/>
        <w:ind w:left="720"/>
        <w:rPr>
          <w:rFonts w:ascii="Times New Roman" w:hAnsi="Times New Roman" w:cs="Times New Roman"/>
          <w:sz w:val="24"/>
          <w:szCs w:val="24"/>
          <w:lang w:val="en-GB"/>
        </w:rPr>
      </w:pPr>
      <w:r w:rsidRPr="00050DEF">
        <w:rPr>
          <w:rFonts w:ascii="Times New Roman" w:hAnsi="Times New Roman" w:cs="Times New Roman"/>
          <w:sz w:val="24"/>
          <w:szCs w:val="24"/>
          <w:lang w:val="en-GB"/>
        </w:rPr>
        <w:t>To frame is to select some aspects of a</w:t>
      </w:r>
      <w:r w:rsidR="00B46559"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perceived reality and make them more salient in a communicating text, in such a way as to promote a</w:t>
      </w:r>
      <w:r w:rsidR="00B46559"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particular</w:t>
      </w:r>
      <w:r w:rsidR="00B46559"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problem definition, causal interpretation, moral evaluation, and/or treatment recommendation for the item described.</w:t>
      </w:r>
    </w:p>
    <w:p w14:paraId="0CC7D28E" w14:textId="77777777" w:rsidR="009640C1" w:rsidRPr="00050DEF" w:rsidRDefault="009640C1" w:rsidP="00633FCF">
      <w:pPr>
        <w:spacing w:after="0" w:line="480" w:lineRule="auto"/>
        <w:rPr>
          <w:rFonts w:ascii="Times New Roman" w:hAnsi="Times New Roman" w:cs="Times New Roman"/>
          <w:sz w:val="24"/>
          <w:szCs w:val="24"/>
          <w:lang w:val="en-GB"/>
        </w:rPr>
      </w:pPr>
    </w:p>
    <w:p w14:paraId="68E55432" w14:textId="267547D8" w:rsidR="0082080E" w:rsidRPr="00050DEF" w:rsidRDefault="000B1E63" w:rsidP="00EF46C1">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In the context of interest groups, it is important to distinguish between macro-frames and micro-frames (Baumgartner and Mahoney 2008). </w:t>
      </w:r>
      <w:r w:rsidR="009E75C5" w:rsidRPr="00050DEF">
        <w:rPr>
          <w:rFonts w:ascii="Times New Roman" w:hAnsi="Times New Roman" w:cs="Times New Roman"/>
          <w:sz w:val="24"/>
          <w:szCs w:val="24"/>
          <w:lang w:val="en-GB"/>
        </w:rPr>
        <w:t>T</w:t>
      </w:r>
      <w:r w:rsidRPr="00050DEF">
        <w:rPr>
          <w:rFonts w:ascii="Times New Roman" w:hAnsi="Times New Roman" w:cs="Times New Roman"/>
          <w:sz w:val="24"/>
          <w:szCs w:val="24"/>
          <w:lang w:val="en-GB"/>
        </w:rPr>
        <w:t>he frame that dominates the public agenda</w:t>
      </w:r>
      <w:r w:rsidR="009E75C5" w:rsidRPr="00050DEF">
        <w:rPr>
          <w:rFonts w:ascii="Times New Roman" w:hAnsi="Times New Roman" w:cs="Times New Roman"/>
          <w:sz w:val="24"/>
          <w:szCs w:val="24"/>
          <w:lang w:val="en-GB"/>
        </w:rPr>
        <w:t xml:space="preserve"> </w:t>
      </w:r>
      <w:r w:rsidR="00E15A3C" w:rsidRPr="00050DEF">
        <w:rPr>
          <w:rFonts w:ascii="Times New Roman" w:hAnsi="Times New Roman" w:cs="Times New Roman"/>
          <w:sz w:val="24"/>
          <w:szCs w:val="24"/>
          <w:lang w:val="en-GB"/>
        </w:rPr>
        <w:t>– and, hence, sets the tone for policy-making – i</w:t>
      </w:r>
      <w:r w:rsidR="009E75C5" w:rsidRPr="00050DEF">
        <w:rPr>
          <w:rFonts w:ascii="Times New Roman" w:hAnsi="Times New Roman" w:cs="Times New Roman"/>
          <w:sz w:val="24"/>
          <w:szCs w:val="24"/>
          <w:lang w:val="en-GB"/>
        </w:rPr>
        <w:t xml:space="preserve">s the macro-frame. </w:t>
      </w:r>
      <w:r w:rsidR="00E0683D" w:rsidRPr="00050DEF">
        <w:rPr>
          <w:rFonts w:ascii="Times New Roman" w:hAnsi="Times New Roman" w:cs="Times New Roman"/>
          <w:sz w:val="24"/>
          <w:szCs w:val="24"/>
          <w:lang w:val="en-GB"/>
        </w:rPr>
        <w:t>No interest group can single-handedly define the macro-frame. This is because</w:t>
      </w:r>
      <w:r w:rsidRPr="00050DEF">
        <w:rPr>
          <w:rFonts w:ascii="Times New Roman" w:hAnsi="Times New Roman" w:cs="Times New Roman"/>
          <w:sz w:val="24"/>
          <w:szCs w:val="24"/>
          <w:lang w:val="en-GB"/>
        </w:rPr>
        <w:t xml:space="preserve"> macro-frame</w:t>
      </w:r>
      <w:r w:rsidR="00E0683D" w:rsidRPr="00050DEF">
        <w:rPr>
          <w:rFonts w:ascii="Times New Roman" w:hAnsi="Times New Roman" w:cs="Times New Roman"/>
          <w:sz w:val="24"/>
          <w:szCs w:val="24"/>
          <w:lang w:val="en-GB"/>
        </w:rPr>
        <w:t>s are</w:t>
      </w:r>
      <w:r w:rsidR="009E75C5" w:rsidRPr="00050DEF">
        <w:rPr>
          <w:rFonts w:ascii="Times New Roman" w:hAnsi="Times New Roman" w:cs="Times New Roman"/>
          <w:sz w:val="24"/>
          <w:szCs w:val="24"/>
          <w:lang w:val="en-GB"/>
        </w:rPr>
        <w:t xml:space="preserve"> the product of </w:t>
      </w:r>
      <w:r w:rsidR="006316C2" w:rsidRPr="00050DEF">
        <w:rPr>
          <w:rFonts w:ascii="Times New Roman" w:hAnsi="Times New Roman" w:cs="Times New Roman"/>
          <w:sz w:val="24"/>
          <w:szCs w:val="24"/>
          <w:lang w:val="en-GB"/>
        </w:rPr>
        <w:t>an</w:t>
      </w:r>
      <w:r w:rsidR="00A83666" w:rsidRPr="00050DEF">
        <w:rPr>
          <w:rFonts w:ascii="Times New Roman" w:hAnsi="Times New Roman" w:cs="Times New Roman"/>
          <w:sz w:val="24"/>
          <w:szCs w:val="24"/>
          <w:lang w:val="en-GB"/>
        </w:rPr>
        <w:t xml:space="preserve"> interaction between the goals of political actors</w:t>
      </w:r>
      <w:r w:rsidR="00E0683D" w:rsidRPr="00050DEF">
        <w:rPr>
          <w:rFonts w:ascii="Times New Roman" w:hAnsi="Times New Roman" w:cs="Times New Roman"/>
          <w:sz w:val="24"/>
          <w:szCs w:val="24"/>
          <w:lang w:val="en-GB"/>
        </w:rPr>
        <w:t xml:space="preserve"> (many with opposing views)</w:t>
      </w:r>
      <w:r w:rsidR="00A83666" w:rsidRPr="00050DEF">
        <w:rPr>
          <w:rFonts w:ascii="Times New Roman" w:hAnsi="Times New Roman" w:cs="Times New Roman"/>
          <w:sz w:val="24"/>
          <w:szCs w:val="24"/>
          <w:lang w:val="en-GB"/>
        </w:rPr>
        <w:t>, new information</w:t>
      </w:r>
      <w:r w:rsidR="00E0683D" w:rsidRPr="00050DEF">
        <w:rPr>
          <w:rFonts w:ascii="Times New Roman" w:hAnsi="Times New Roman" w:cs="Times New Roman"/>
          <w:sz w:val="24"/>
          <w:szCs w:val="24"/>
          <w:lang w:val="en-GB"/>
        </w:rPr>
        <w:t xml:space="preserve"> about policy-relevant problems</w:t>
      </w:r>
      <w:r w:rsidR="00A83666" w:rsidRPr="00050DEF">
        <w:rPr>
          <w:rFonts w:ascii="Times New Roman" w:hAnsi="Times New Roman" w:cs="Times New Roman"/>
          <w:sz w:val="24"/>
          <w:szCs w:val="24"/>
          <w:lang w:val="en-GB"/>
        </w:rPr>
        <w:t xml:space="preserve">, and </w:t>
      </w:r>
      <w:r w:rsidR="00E0683D" w:rsidRPr="00050DEF">
        <w:rPr>
          <w:rFonts w:ascii="Times New Roman" w:hAnsi="Times New Roman" w:cs="Times New Roman"/>
          <w:sz w:val="24"/>
          <w:szCs w:val="24"/>
          <w:lang w:val="en-GB"/>
        </w:rPr>
        <w:t xml:space="preserve">the </w:t>
      </w:r>
      <w:r w:rsidR="00A83666" w:rsidRPr="00050DEF">
        <w:rPr>
          <w:rFonts w:ascii="Times New Roman" w:hAnsi="Times New Roman" w:cs="Times New Roman"/>
          <w:sz w:val="24"/>
          <w:szCs w:val="24"/>
          <w:lang w:val="en-GB"/>
        </w:rPr>
        <w:t xml:space="preserve">institutional entrenchment of </w:t>
      </w:r>
      <w:r w:rsidR="00E0683D" w:rsidRPr="00050DEF">
        <w:rPr>
          <w:rFonts w:ascii="Times New Roman" w:hAnsi="Times New Roman" w:cs="Times New Roman"/>
          <w:sz w:val="24"/>
          <w:szCs w:val="24"/>
          <w:lang w:val="en-GB"/>
        </w:rPr>
        <w:t xml:space="preserve">the </w:t>
      </w:r>
      <w:r w:rsidR="00A83666" w:rsidRPr="00050DEF">
        <w:rPr>
          <w:rFonts w:ascii="Times New Roman" w:hAnsi="Times New Roman" w:cs="Times New Roman"/>
          <w:sz w:val="24"/>
          <w:szCs w:val="24"/>
          <w:lang w:val="en-GB"/>
        </w:rPr>
        <w:t>p</w:t>
      </w:r>
      <w:r w:rsidR="00E0683D" w:rsidRPr="00050DEF">
        <w:rPr>
          <w:rFonts w:ascii="Times New Roman" w:hAnsi="Times New Roman" w:cs="Times New Roman"/>
          <w:sz w:val="24"/>
          <w:szCs w:val="24"/>
          <w:lang w:val="en-GB"/>
        </w:rPr>
        <w:t>revious macro-frame</w:t>
      </w:r>
      <w:r w:rsidR="00D66B25" w:rsidRPr="00050DEF">
        <w:rPr>
          <w:rFonts w:ascii="Times New Roman" w:hAnsi="Times New Roman" w:cs="Times New Roman"/>
          <w:sz w:val="24"/>
          <w:szCs w:val="24"/>
          <w:lang w:val="en-GB"/>
        </w:rPr>
        <w:t xml:space="preserve"> (Baumgartner and Jones 1993: 25</w:t>
      </w:r>
      <w:r w:rsidR="009C7118" w:rsidRPr="00050DEF">
        <w:rPr>
          <w:rFonts w:ascii="Times New Roman" w:hAnsi="Times New Roman" w:cs="Times New Roman"/>
          <w:sz w:val="24"/>
          <w:szCs w:val="24"/>
          <w:lang w:val="en-GB"/>
        </w:rPr>
        <w:t>–</w:t>
      </w:r>
      <w:r w:rsidR="00D66B25" w:rsidRPr="00050DEF">
        <w:rPr>
          <w:rFonts w:ascii="Times New Roman" w:hAnsi="Times New Roman" w:cs="Times New Roman"/>
          <w:sz w:val="24"/>
          <w:szCs w:val="24"/>
          <w:lang w:val="en-GB"/>
        </w:rPr>
        <w:t>38)</w:t>
      </w:r>
      <w:r w:rsidR="00A83666" w:rsidRPr="00050DEF">
        <w:rPr>
          <w:rFonts w:ascii="Times New Roman" w:hAnsi="Times New Roman" w:cs="Times New Roman"/>
          <w:sz w:val="24"/>
          <w:szCs w:val="24"/>
          <w:lang w:val="en-GB"/>
        </w:rPr>
        <w:t xml:space="preserve">. </w:t>
      </w:r>
      <w:r w:rsidR="00E0683D" w:rsidRPr="00050DEF">
        <w:rPr>
          <w:rFonts w:ascii="Times New Roman" w:hAnsi="Times New Roman" w:cs="Times New Roman"/>
          <w:sz w:val="24"/>
          <w:szCs w:val="24"/>
          <w:lang w:val="en-GB"/>
        </w:rPr>
        <w:t>Yet</w:t>
      </w:r>
      <w:r w:rsidR="001B185D" w:rsidRPr="00050DEF">
        <w:rPr>
          <w:rFonts w:ascii="Times New Roman" w:hAnsi="Times New Roman" w:cs="Times New Roman"/>
          <w:sz w:val="24"/>
          <w:szCs w:val="24"/>
          <w:lang w:val="en-GB"/>
        </w:rPr>
        <w:t>,</w:t>
      </w:r>
      <w:r w:rsidR="00E0683D" w:rsidRPr="00050DEF">
        <w:rPr>
          <w:rFonts w:ascii="Times New Roman" w:hAnsi="Times New Roman" w:cs="Times New Roman"/>
          <w:sz w:val="24"/>
          <w:szCs w:val="24"/>
          <w:lang w:val="en-GB"/>
        </w:rPr>
        <w:t xml:space="preserve"> </w:t>
      </w:r>
      <w:r w:rsidR="008C2BC1" w:rsidRPr="00050DEF">
        <w:rPr>
          <w:rFonts w:ascii="Times New Roman" w:hAnsi="Times New Roman" w:cs="Times New Roman"/>
          <w:sz w:val="24"/>
          <w:szCs w:val="24"/>
          <w:lang w:val="en-GB"/>
        </w:rPr>
        <w:t>the fact that</w:t>
      </w:r>
      <w:r w:rsidR="00E0683D" w:rsidRPr="00050DEF">
        <w:rPr>
          <w:rFonts w:ascii="Times New Roman" w:hAnsi="Times New Roman" w:cs="Times New Roman"/>
          <w:sz w:val="24"/>
          <w:szCs w:val="24"/>
          <w:lang w:val="en-GB"/>
        </w:rPr>
        <w:t xml:space="preserve"> an interest group cannot decide the macro-frame of course </w:t>
      </w:r>
      <w:r w:rsidR="008C2BC1" w:rsidRPr="00050DEF">
        <w:rPr>
          <w:rFonts w:ascii="Times New Roman" w:hAnsi="Times New Roman" w:cs="Times New Roman"/>
          <w:sz w:val="24"/>
          <w:szCs w:val="24"/>
          <w:lang w:val="en-GB"/>
        </w:rPr>
        <w:t xml:space="preserve">does </w:t>
      </w:r>
      <w:r w:rsidR="00E0683D" w:rsidRPr="00050DEF">
        <w:rPr>
          <w:rFonts w:ascii="Times New Roman" w:hAnsi="Times New Roman" w:cs="Times New Roman"/>
          <w:sz w:val="24"/>
          <w:szCs w:val="24"/>
          <w:lang w:val="en-GB"/>
        </w:rPr>
        <w:t xml:space="preserve">not imply that it cannot influence it to some degree. </w:t>
      </w:r>
      <w:r w:rsidR="00DF78DB" w:rsidRPr="00050DEF">
        <w:rPr>
          <w:rFonts w:ascii="Times New Roman" w:hAnsi="Times New Roman" w:cs="Times New Roman"/>
          <w:sz w:val="24"/>
          <w:szCs w:val="24"/>
          <w:lang w:val="en-GB"/>
        </w:rPr>
        <w:t>With skills and patience</w:t>
      </w:r>
      <w:r w:rsidR="00E0683D" w:rsidRPr="00050DEF">
        <w:rPr>
          <w:rFonts w:ascii="Times New Roman" w:hAnsi="Times New Roman" w:cs="Times New Roman"/>
          <w:sz w:val="24"/>
          <w:szCs w:val="24"/>
          <w:lang w:val="en-GB"/>
        </w:rPr>
        <w:t xml:space="preserve">, and perhaps a bit of luck, </w:t>
      </w:r>
      <w:r w:rsidR="00DF78DB" w:rsidRPr="00050DEF">
        <w:rPr>
          <w:rFonts w:ascii="Times New Roman" w:hAnsi="Times New Roman" w:cs="Times New Roman"/>
          <w:sz w:val="24"/>
          <w:szCs w:val="24"/>
          <w:lang w:val="en-GB"/>
        </w:rPr>
        <w:t xml:space="preserve">other actors may adopt </w:t>
      </w:r>
      <w:r w:rsidR="00E0683D" w:rsidRPr="00050DEF">
        <w:rPr>
          <w:rFonts w:ascii="Times New Roman" w:hAnsi="Times New Roman" w:cs="Times New Roman"/>
          <w:sz w:val="24"/>
          <w:szCs w:val="24"/>
          <w:lang w:val="en-GB"/>
        </w:rPr>
        <w:t>an interest group’s favo</w:t>
      </w:r>
      <w:r w:rsidR="00050DEF" w:rsidRPr="00050DEF">
        <w:rPr>
          <w:rFonts w:ascii="Times New Roman" w:hAnsi="Times New Roman" w:cs="Times New Roman"/>
          <w:sz w:val="24"/>
          <w:szCs w:val="24"/>
          <w:lang w:val="en-GB"/>
        </w:rPr>
        <w:t>u</w:t>
      </w:r>
      <w:r w:rsidR="00E0683D" w:rsidRPr="00050DEF">
        <w:rPr>
          <w:rFonts w:ascii="Times New Roman" w:hAnsi="Times New Roman" w:cs="Times New Roman"/>
          <w:sz w:val="24"/>
          <w:szCs w:val="24"/>
          <w:lang w:val="en-GB"/>
        </w:rPr>
        <w:t>red frame</w:t>
      </w:r>
      <w:r w:rsidR="00DF78DB" w:rsidRPr="00050DEF">
        <w:rPr>
          <w:rFonts w:ascii="Times New Roman" w:hAnsi="Times New Roman" w:cs="Times New Roman"/>
          <w:sz w:val="24"/>
          <w:szCs w:val="24"/>
          <w:lang w:val="en-GB"/>
        </w:rPr>
        <w:t>, eventually either moderating or overtaking</w:t>
      </w:r>
      <w:r w:rsidR="00E0683D" w:rsidRPr="00050DEF">
        <w:rPr>
          <w:rFonts w:ascii="Times New Roman" w:hAnsi="Times New Roman" w:cs="Times New Roman"/>
          <w:sz w:val="24"/>
          <w:szCs w:val="24"/>
          <w:lang w:val="en-GB"/>
        </w:rPr>
        <w:t xml:space="preserve"> the old macro-frame. The frame</w:t>
      </w:r>
      <w:r w:rsidR="00CF132F" w:rsidRPr="00050DEF">
        <w:rPr>
          <w:rFonts w:ascii="Times New Roman" w:hAnsi="Times New Roman" w:cs="Times New Roman"/>
          <w:sz w:val="24"/>
          <w:szCs w:val="24"/>
          <w:lang w:val="en-GB"/>
        </w:rPr>
        <w:t>s</w:t>
      </w:r>
      <w:r w:rsidR="00E0683D" w:rsidRPr="00050DEF">
        <w:rPr>
          <w:rFonts w:ascii="Times New Roman" w:hAnsi="Times New Roman" w:cs="Times New Roman"/>
          <w:sz w:val="24"/>
          <w:szCs w:val="24"/>
          <w:lang w:val="en-GB"/>
        </w:rPr>
        <w:t xml:space="preserve"> of individual interest groups </w:t>
      </w:r>
      <w:r w:rsidR="00CF132F" w:rsidRPr="00050DEF">
        <w:rPr>
          <w:rFonts w:ascii="Times New Roman" w:hAnsi="Times New Roman" w:cs="Times New Roman"/>
          <w:sz w:val="24"/>
          <w:szCs w:val="24"/>
          <w:lang w:val="en-GB"/>
        </w:rPr>
        <w:t xml:space="preserve">are </w:t>
      </w:r>
      <w:r w:rsidR="006316C2" w:rsidRPr="00050DEF">
        <w:rPr>
          <w:rFonts w:ascii="Times New Roman" w:hAnsi="Times New Roman" w:cs="Times New Roman"/>
          <w:sz w:val="24"/>
          <w:szCs w:val="24"/>
          <w:lang w:val="en-GB"/>
        </w:rPr>
        <w:t>labelled</w:t>
      </w:r>
      <w:r w:rsidR="00CF132F" w:rsidRPr="00050DEF">
        <w:rPr>
          <w:rFonts w:ascii="Times New Roman" w:hAnsi="Times New Roman" w:cs="Times New Roman"/>
          <w:sz w:val="24"/>
          <w:szCs w:val="24"/>
          <w:lang w:val="en-GB"/>
        </w:rPr>
        <w:t xml:space="preserve"> micro-frames. </w:t>
      </w:r>
    </w:p>
    <w:p w14:paraId="40DBEE5C" w14:textId="64E941C6" w:rsidR="009640C1" w:rsidRPr="00050DEF" w:rsidRDefault="00DF78DB"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There is by now an emerging literature on interest group framing </w:t>
      </w:r>
      <w:r w:rsidR="00050DEF">
        <w:rPr>
          <w:rFonts w:ascii="Times New Roman" w:hAnsi="Times New Roman" w:cs="Times New Roman"/>
          <w:sz w:val="24"/>
          <w:szCs w:val="24"/>
          <w:lang w:val="en-GB"/>
        </w:rPr>
        <w:t>that</w:t>
      </w:r>
      <w:r w:rsidRPr="00050DEF">
        <w:rPr>
          <w:rFonts w:ascii="Times New Roman" w:hAnsi="Times New Roman" w:cs="Times New Roman"/>
          <w:sz w:val="24"/>
          <w:szCs w:val="24"/>
          <w:lang w:val="en-GB"/>
        </w:rPr>
        <w:t xml:space="preserve"> either studies macro-framing</w:t>
      </w:r>
      <w:r w:rsidR="00627046" w:rsidRPr="00050DEF">
        <w:rPr>
          <w:rFonts w:ascii="Times New Roman" w:hAnsi="Times New Roman" w:cs="Times New Roman"/>
          <w:sz w:val="24"/>
          <w:szCs w:val="24"/>
          <w:lang w:val="en-GB"/>
        </w:rPr>
        <w:t xml:space="preserve"> or micro-framing (e.g.</w:t>
      </w:r>
      <w:r w:rsidR="00050DEF">
        <w:rPr>
          <w:rFonts w:ascii="Times New Roman" w:hAnsi="Times New Roman" w:cs="Times New Roman"/>
          <w:sz w:val="24"/>
          <w:szCs w:val="24"/>
          <w:lang w:val="en-GB"/>
        </w:rPr>
        <w:t>,</w:t>
      </w:r>
      <w:r w:rsidR="00627046" w:rsidRPr="00050DEF">
        <w:rPr>
          <w:rFonts w:ascii="Times New Roman" w:hAnsi="Times New Roman" w:cs="Times New Roman"/>
          <w:sz w:val="24"/>
          <w:szCs w:val="24"/>
          <w:lang w:val="en-GB"/>
        </w:rPr>
        <w:t xml:space="preserve"> Klüver</w:t>
      </w:r>
      <w:r w:rsidR="003D5F7A" w:rsidRPr="00050DEF">
        <w:rPr>
          <w:rFonts w:ascii="Times New Roman" w:hAnsi="Times New Roman" w:cs="Times New Roman"/>
          <w:sz w:val="24"/>
          <w:szCs w:val="24"/>
          <w:lang w:val="en-GB"/>
        </w:rPr>
        <w:t xml:space="preserve"> et al. </w:t>
      </w:r>
      <w:r w:rsidR="00627046" w:rsidRPr="00050DEF">
        <w:rPr>
          <w:rFonts w:ascii="Times New Roman" w:hAnsi="Times New Roman" w:cs="Times New Roman"/>
          <w:sz w:val="24"/>
          <w:szCs w:val="24"/>
          <w:lang w:val="en-GB"/>
        </w:rPr>
        <w:t>2015; Binderkrantz 201</w:t>
      </w:r>
      <w:r w:rsidR="00264CBD" w:rsidRPr="00050DEF">
        <w:rPr>
          <w:rFonts w:ascii="Times New Roman" w:hAnsi="Times New Roman" w:cs="Times New Roman"/>
          <w:sz w:val="24"/>
          <w:szCs w:val="24"/>
          <w:lang w:val="en-GB"/>
        </w:rPr>
        <w:t>9</w:t>
      </w:r>
      <w:r w:rsidR="00627046" w:rsidRPr="00050DEF">
        <w:rPr>
          <w:rFonts w:ascii="Times New Roman" w:hAnsi="Times New Roman" w:cs="Times New Roman"/>
          <w:sz w:val="24"/>
          <w:szCs w:val="24"/>
          <w:lang w:val="en-GB"/>
        </w:rPr>
        <w:t xml:space="preserve">). </w:t>
      </w:r>
      <w:r w:rsidR="002F5BD5" w:rsidRPr="00050DEF">
        <w:rPr>
          <w:rFonts w:ascii="Times New Roman" w:hAnsi="Times New Roman" w:cs="Times New Roman"/>
          <w:sz w:val="24"/>
          <w:szCs w:val="24"/>
          <w:lang w:val="en-GB"/>
        </w:rPr>
        <w:t>We</w:t>
      </w:r>
      <w:r w:rsidR="00627046" w:rsidRPr="00050DEF">
        <w:rPr>
          <w:rFonts w:ascii="Times New Roman" w:hAnsi="Times New Roman" w:cs="Times New Roman"/>
          <w:sz w:val="24"/>
          <w:szCs w:val="24"/>
          <w:lang w:val="en-GB"/>
        </w:rPr>
        <w:t xml:space="preserve"> have learned </w:t>
      </w:r>
      <w:r w:rsidR="002F5BD5" w:rsidRPr="00050DEF">
        <w:rPr>
          <w:rFonts w:ascii="Times New Roman" w:hAnsi="Times New Roman" w:cs="Times New Roman"/>
          <w:sz w:val="24"/>
          <w:szCs w:val="24"/>
          <w:lang w:val="en-GB"/>
        </w:rPr>
        <w:t xml:space="preserve">a </w:t>
      </w:r>
      <w:r w:rsidR="00050DEF">
        <w:rPr>
          <w:rFonts w:ascii="Times New Roman" w:hAnsi="Times New Roman" w:cs="Times New Roman"/>
          <w:sz w:val="24"/>
          <w:szCs w:val="24"/>
          <w:lang w:val="en-GB"/>
        </w:rPr>
        <w:t>great deal</w:t>
      </w:r>
      <w:r w:rsidR="002F5BD5" w:rsidRPr="00050DEF">
        <w:rPr>
          <w:rFonts w:ascii="Times New Roman" w:hAnsi="Times New Roman" w:cs="Times New Roman"/>
          <w:sz w:val="24"/>
          <w:szCs w:val="24"/>
          <w:lang w:val="en-GB"/>
        </w:rPr>
        <w:t xml:space="preserve"> </w:t>
      </w:r>
      <w:r w:rsidR="00627046" w:rsidRPr="00050DEF">
        <w:rPr>
          <w:rFonts w:ascii="Times New Roman" w:hAnsi="Times New Roman" w:cs="Times New Roman"/>
          <w:sz w:val="24"/>
          <w:szCs w:val="24"/>
          <w:lang w:val="en-GB"/>
        </w:rPr>
        <w:t xml:space="preserve">from this research. </w:t>
      </w:r>
      <w:r w:rsidR="002F5BD5" w:rsidRPr="00050DEF">
        <w:rPr>
          <w:rFonts w:ascii="Times New Roman" w:hAnsi="Times New Roman" w:cs="Times New Roman"/>
          <w:sz w:val="24"/>
          <w:szCs w:val="24"/>
          <w:lang w:val="en-GB"/>
        </w:rPr>
        <w:t>Yet</w:t>
      </w:r>
      <w:r w:rsidR="00050DEF">
        <w:rPr>
          <w:rFonts w:ascii="Times New Roman" w:hAnsi="Times New Roman" w:cs="Times New Roman"/>
          <w:sz w:val="24"/>
          <w:szCs w:val="24"/>
          <w:lang w:val="en-GB"/>
        </w:rPr>
        <w:t>,</w:t>
      </w:r>
      <w:r w:rsidR="002F5BD5" w:rsidRPr="00050DEF">
        <w:rPr>
          <w:rFonts w:ascii="Times New Roman" w:hAnsi="Times New Roman" w:cs="Times New Roman"/>
          <w:sz w:val="24"/>
          <w:szCs w:val="24"/>
          <w:lang w:val="en-GB"/>
        </w:rPr>
        <w:t xml:space="preserve"> as pointed out by Baumgartner and Mahoney (2008: 436, 445) and de Bryucker (201</w:t>
      </w:r>
      <w:r w:rsidR="00D66B25" w:rsidRPr="00050DEF">
        <w:rPr>
          <w:rFonts w:ascii="Times New Roman" w:hAnsi="Times New Roman" w:cs="Times New Roman"/>
          <w:sz w:val="24"/>
          <w:szCs w:val="24"/>
          <w:lang w:val="en-GB"/>
        </w:rPr>
        <w:t>7</w:t>
      </w:r>
      <w:r w:rsidR="002F5BD5" w:rsidRPr="00050DEF">
        <w:rPr>
          <w:rFonts w:ascii="Times New Roman" w:hAnsi="Times New Roman" w:cs="Times New Roman"/>
          <w:sz w:val="24"/>
          <w:szCs w:val="24"/>
          <w:lang w:val="en-GB"/>
        </w:rPr>
        <w:t xml:space="preserve">: 780, 784), there is now a need for a better understanding of how the two types of framing interact. </w:t>
      </w:r>
      <w:r w:rsidR="00E15A3C" w:rsidRPr="00050DEF">
        <w:rPr>
          <w:rFonts w:ascii="Times New Roman" w:hAnsi="Times New Roman" w:cs="Times New Roman"/>
          <w:sz w:val="24"/>
          <w:szCs w:val="24"/>
          <w:lang w:val="en-GB"/>
        </w:rPr>
        <w:t xml:space="preserve">If we only focus on micro-frames, we </w:t>
      </w:r>
      <w:r w:rsidR="0096039D" w:rsidRPr="00050DEF">
        <w:rPr>
          <w:rFonts w:ascii="Times New Roman" w:hAnsi="Times New Roman" w:cs="Times New Roman"/>
          <w:sz w:val="24"/>
          <w:szCs w:val="24"/>
          <w:lang w:val="en-GB"/>
        </w:rPr>
        <w:t>cannot</w:t>
      </w:r>
      <w:r w:rsidR="00E15A3C" w:rsidRPr="00050DEF">
        <w:rPr>
          <w:rFonts w:ascii="Times New Roman" w:hAnsi="Times New Roman" w:cs="Times New Roman"/>
          <w:sz w:val="24"/>
          <w:szCs w:val="24"/>
          <w:lang w:val="en-GB"/>
        </w:rPr>
        <w:t xml:space="preserve"> understand </w:t>
      </w:r>
      <w:r w:rsidR="0096039D" w:rsidRPr="00050DEF">
        <w:rPr>
          <w:rFonts w:ascii="Times New Roman" w:hAnsi="Times New Roman" w:cs="Times New Roman"/>
          <w:sz w:val="24"/>
          <w:szCs w:val="24"/>
          <w:lang w:val="en-GB"/>
        </w:rPr>
        <w:t>how macro-frame</w:t>
      </w:r>
      <w:r w:rsidR="00980943" w:rsidRPr="00050DEF">
        <w:rPr>
          <w:rFonts w:ascii="Times New Roman" w:hAnsi="Times New Roman" w:cs="Times New Roman"/>
          <w:sz w:val="24"/>
          <w:szCs w:val="24"/>
          <w:lang w:val="en-GB"/>
        </w:rPr>
        <w:t>s</w:t>
      </w:r>
      <w:r w:rsidR="0096039D" w:rsidRPr="00050DEF">
        <w:rPr>
          <w:rFonts w:ascii="Times New Roman" w:hAnsi="Times New Roman" w:cs="Times New Roman"/>
          <w:sz w:val="24"/>
          <w:szCs w:val="24"/>
          <w:lang w:val="en-GB"/>
        </w:rPr>
        <w:t xml:space="preserve"> come about </w:t>
      </w:r>
      <w:r w:rsidR="0096039D" w:rsidRPr="00050DEF">
        <w:rPr>
          <w:rFonts w:ascii="Times New Roman" w:hAnsi="Times New Roman" w:cs="Times New Roman"/>
          <w:sz w:val="24"/>
          <w:szCs w:val="24"/>
          <w:lang w:val="en-GB"/>
        </w:rPr>
        <w:lastRenderedPageBreak/>
        <w:t>exactly because they are not the product of individual frames but of collective definition processes. Since macro-frames normally direct policy-making, we also miss the ability to understand how interest groups affect policy via framing. Conversely, by only looking at macro-frames, we fail to see how individual interest groups try to colo</w:t>
      </w:r>
      <w:r w:rsidR="00050DEF">
        <w:rPr>
          <w:rFonts w:ascii="Times New Roman" w:hAnsi="Times New Roman" w:cs="Times New Roman"/>
          <w:sz w:val="24"/>
          <w:szCs w:val="24"/>
          <w:lang w:val="en-GB"/>
        </w:rPr>
        <w:t>u</w:t>
      </w:r>
      <w:r w:rsidR="0096039D" w:rsidRPr="00050DEF">
        <w:rPr>
          <w:rFonts w:ascii="Times New Roman" w:hAnsi="Times New Roman" w:cs="Times New Roman"/>
          <w:sz w:val="24"/>
          <w:szCs w:val="24"/>
          <w:lang w:val="en-GB"/>
        </w:rPr>
        <w:t>r the macro-frame. A full picture requires us to study the interaction b</w:t>
      </w:r>
      <w:r w:rsidR="00130F56" w:rsidRPr="00050DEF">
        <w:rPr>
          <w:rFonts w:ascii="Times New Roman" w:hAnsi="Times New Roman" w:cs="Times New Roman"/>
          <w:sz w:val="24"/>
          <w:szCs w:val="24"/>
          <w:lang w:val="en-GB"/>
        </w:rPr>
        <w:t>etween macro- and micro-frames.</w:t>
      </w:r>
    </w:p>
    <w:p w14:paraId="5054245A" w14:textId="6EF41C73" w:rsidR="0020000C" w:rsidRPr="00050DEF" w:rsidRDefault="00130F56"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Our ambition is to explore this interaction. We do so by investigating how macro-frames </w:t>
      </w:r>
      <w:r w:rsidR="006627D0" w:rsidRPr="00050DEF">
        <w:rPr>
          <w:rFonts w:ascii="Times New Roman" w:hAnsi="Times New Roman" w:cs="Times New Roman"/>
          <w:sz w:val="24"/>
          <w:szCs w:val="24"/>
          <w:lang w:val="en-GB"/>
        </w:rPr>
        <w:t xml:space="preserve">that </w:t>
      </w:r>
      <w:r w:rsidR="00FE72A7" w:rsidRPr="00050DEF">
        <w:rPr>
          <w:rFonts w:ascii="Times New Roman" w:hAnsi="Times New Roman" w:cs="Times New Roman"/>
          <w:sz w:val="24"/>
          <w:szCs w:val="24"/>
          <w:lang w:val="en-GB"/>
        </w:rPr>
        <w:t xml:space="preserve">are misaligned with </w:t>
      </w:r>
      <w:r w:rsidR="006627D0" w:rsidRPr="00050DEF">
        <w:rPr>
          <w:rFonts w:ascii="Times New Roman" w:hAnsi="Times New Roman" w:cs="Times New Roman"/>
          <w:sz w:val="24"/>
          <w:szCs w:val="24"/>
          <w:lang w:val="en-GB"/>
        </w:rPr>
        <w:t xml:space="preserve">the goals of interest groups </w:t>
      </w:r>
      <w:r w:rsidRPr="00050DEF">
        <w:rPr>
          <w:rFonts w:ascii="Times New Roman" w:hAnsi="Times New Roman" w:cs="Times New Roman"/>
          <w:sz w:val="24"/>
          <w:szCs w:val="24"/>
          <w:lang w:val="en-GB"/>
        </w:rPr>
        <w:t xml:space="preserve">condition </w:t>
      </w:r>
      <w:r w:rsidR="006627D0" w:rsidRPr="00050DEF">
        <w:rPr>
          <w:rFonts w:ascii="Times New Roman" w:hAnsi="Times New Roman" w:cs="Times New Roman"/>
          <w:sz w:val="24"/>
          <w:szCs w:val="24"/>
          <w:lang w:val="en-GB"/>
        </w:rPr>
        <w:t xml:space="preserve">the use </w:t>
      </w:r>
      <w:r w:rsidR="00A0787F" w:rsidRPr="00050DEF">
        <w:rPr>
          <w:rFonts w:ascii="Times New Roman" w:hAnsi="Times New Roman" w:cs="Times New Roman"/>
          <w:sz w:val="24"/>
          <w:szCs w:val="24"/>
          <w:lang w:val="en-GB"/>
        </w:rPr>
        <w:t>o</w:t>
      </w:r>
      <w:r w:rsidR="006627D0" w:rsidRPr="00050DEF">
        <w:rPr>
          <w:rFonts w:ascii="Times New Roman" w:hAnsi="Times New Roman" w:cs="Times New Roman"/>
          <w:sz w:val="24"/>
          <w:szCs w:val="24"/>
          <w:lang w:val="en-GB"/>
        </w:rPr>
        <w:t>f</w:t>
      </w:r>
      <w:r w:rsidRPr="00050DEF">
        <w:rPr>
          <w:rFonts w:ascii="Times New Roman" w:hAnsi="Times New Roman" w:cs="Times New Roman"/>
          <w:sz w:val="24"/>
          <w:szCs w:val="24"/>
          <w:lang w:val="en-GB"/>
        </w:rPr>
        <w:t xml:space="preserve"> micro-frame</w:t>
      </w:r>
      <w:r w:rsidR="006627D0" w:rsidRPr="00050DEF">
        <w:rPr>
          <w:rFonts w:ascii="Times New Roman" w:hAnsi="Times New Roman" w:cs="Times New Roman"/>
          <w:sz w:val="24"/>
          <w:szCs w:val="24"/>
          <w:lang w:val="en-GB"/>
        </w:rPr>
        <w:t>s</w:t>
      </w:r>
      <w:r w:rsidR="00017AB1" w:rsidRPr="00050DEF">
        <w:rPr>
          <w:rFonts w:ascii="Times New Roman" w:hAnsi="Times New Roman" w:cs="Times New Roman"/>
          <w:sz w:val="24"/>
          <w:szCs w:val="24"/>
          <w:lang w:val="en-GB"/>
        </w:rPr>
        <w:t>. As implied by</w:t>
      </w:r>
      <w:r w:rsidR="00EF27EB" w:rsidRPr="00050DEF">
        <w:rPr>
          <w:rFonts w:ascii="Times New Roman" w:hAnsi="Times New Roman" w:cs="Times New Roman"/>
          <w:sz w:val="24"/>
          <w:szCs w:val="24"/>
          <w:lang w:val="en-GB"/>
        </w:rPr>
        <w:t xml:space="preserve"> </w:t>
      </w:r>
      <w:r w:rsidR="00017AB1" w:rsidRPr="00050DEF">
        <w:rPr>
          <w:rFonts w:ascii="Times New Roman" w:hAnsi="Times New Roman" w:cs="Times New Roman"/>
          <w:sz w:val="24"/>
          <w:szCs w:val="24"/>
          <w:lang w:val="en-GB"/>
        </w:rPr>
        <w:t xml:space="preserve">Schattschneider </w:t>
      </w:r>
      <w:r w:rsidR="00D66B25" w:rsidRPr="00050DEF">
        <w:rPr>
          <w:rFonts w:ascii="Times New Roman" w:hAnsi="Times New Roman" w:cs="Times New Roman"/>
          <w:sz w:val="24"/>
          <w:lang w:val="en-GB"/>
        </w:rPr>
        <w:t>(1960)</w:t>
      </w:r>
      <w:r w:rsidR="00017AB1" w:rsidRPr="00050DEF">
        <w:rPr>
          <w:rFonts w:ascii="Times New Roman" w:hAnsi="Times New Roman" w:cs="Times New Roman"/>
          <w:sz w:val="24"/>
          <w:szCs w:val="24"/>
          <w:lang w:val="en-GB"/>
        </w:rPr>
        <w:t xml:space="preserve"> and </w:t>
      </w:r>
      <w:r w:rsidR="00EF27EB" w:rsidRPr="00050DEF">
        <w:rPr>
          <w:rFonts w:ascii="Times New Roman" w:hAnsi="Times New Roman" w:cs="Times New Roman"/>
          <w:sz w:val="24"/>
          <w:szCs w:val="24"/>
          <w:lang w:val="en-GB"/>
        </w:rPr>
        <w:t>Baumgartner and Jones (</w:t>
      </w:r>
      <w:r w:rsidR="00444E4E" w:rsidRPr="00050DEF">
        <w:rPr>
          <w:rFonts w:ascii="Times New Roman" w:hAnsi="Times New Roman" w:cs="Times New Roman"/>
          <w:sz w:val="24"/>
          <w:szCs w:val="24"/>
          <w:lang w:val="en-GB"/>
        </w:rPr>
        <w:t>1993</w:t>
      </w:r>
      <w:r w:rsidR="00017AB1" w:rsidRPr="00050DEF">
        <w:rPr>
          <w:rFonts w:ascii="Times New Roman" w:hAnsi="Times New Roman" w:cs="Times New Roman"/>
          <w:sz w:val="24"/>
          <w:szCs w:val="24"/>
          <w:lang w:val="en-GB"/>
        </w:rPr>
        <w:t>),</w:t>
      </w:r>
      <w:r w:rsidR="00EF27EB" w:rsidRPr="00050DEF">
        <w:rPr>
          <w:rFonts w:ascii="Times New Roman" w:hAnsi="Times New Roman" w:cs="Times New Roman"/>
          <w:sz w:val="24"/>
          <w:szCs w:val="24"/>
          <w:lang w:val="en-GB"/>
        </w:rPr>
        <w:t xml:space="preserve"> individual political actors are</w:t>
      </w:r>
      <w:r w:rsidR="00017AB1" w:rsidRPr="00050DEF">
        <w:rPr>
          <w:rFonts w:ascii="Times New Roman" w:hAnsi="Times New Roman" w:cs="Times New Roman"/>
          <w:sz w:val="24"/>
          <w:szCs w:val="24"/>
          <w:lang w:val="en-GB"/>
        </w:rPr>
        <w:t xml:space="preserve"> </w:t>
      </w:r>
      <w:r w:rsidR="00EF27EB" w:rsidRPr="00050DEF">
        <w:rPr>
          <w:rFonts w:ascii="Times New Roman" w:hAnsi="Times New Roman" w:cs="Times New Roman"/>
          <w:sz w:val="24"/>
          <w:szCs w:val="24"/>
          <w:lang w:val="en-GB"/>
        </w:rPr>
        <w:t>frame</w:t>
      </w:r>
      <w:r w:rsidR="00077F50">
        <w:rPr>
          <w:rFonts w:ascii="Times New Roman" w:hAnsi="Times New Roman" w:cs="Times New Roman"/>
          <w:sz w:val="24"/>
          <w:szCs w:val="24"/>
          <w:lang w:val="en-GB"/>
        </w:rPr>
        <w:t xml:space="preserve"> </w:t>
      </w:r>
      <w:r w:rsidR="00EF27EB" w:rsidRPr="00050DEF">
        <w:rPr>
          <w:rFonts w:ascii="Times New Roman" w:hAnsi="Times New Roman" w:cs="Times New Roman"/>
          <w:sz w:val="24"/>
          <w:szCs w:val="24"/>
          <w:lang w:val="en-GB"/>
        </w:rPr>
        <w:t>takers before they are frame</w:t>
      </w:r>
      <w:r w:rsidR="00077F50">
        <w:rPr>
          <w:rFonts w:ascii="Times New Roman" w:hAnsi="Times New Roman" w:cs="Times New Roman"/>
          <w:sz w:val="24"/>
          <w:szCs w:val="24"/>
          <w:lang w:val="en-GB"/>
        </w:rPr>
        <w:t xml:space="preserve"> </w:t>
      </w:r>
      <w:r w:rsidR="00EF27EB" w:rsidRPr="00050DEF">
        <w:rPr>
          <w:rFonts w:ascii="Times New Roman" w:hAnsi="Times New Roman" w:cs="Times New Roman"/>
          <w:sz w:val="24"/>
          <w:szCs w:val="24"/>
          <w:lang w:val="en-GB"/>
        </w:rPr>
        <w:t xml:space="preserve">givers. The macro-frame defines the </w:t>
      </w:r>
      <w:r w:rsidR="00643D65" w:rsidRPr="00050DEF">
        <w:rPr>
          <w:rFonts w:ascii="Times New Roman" w:hAnsi="Times New Roman" w:cs="Times New Roman"/>
          <w:sz w:val="24"/>
          <w:szCs w:val="24"/>
          <w:lang w:val="en-GB"/>
        </w:rPr>
        <w:t>ideational</w:t>
      </w:r>
      <w:r w:rsidR="00EF27EB" w:rsidRPr="00050DEF">
        <w:rPr>
          <w:rFonts w:ascii="Times New Roman" w:hAnsi="Times New Roman" w:cs="Times New Roman"/>
          <w:sz w:val="24"/>
          <w:szCs w:val="24"/>
          <w:lang w:val="en-GB"/>
        </w:rPr>
        <w:t xml:space="preserve"> context in which actors have to operate today</w:t>
      </w:r>
      <w:r w:rsidR="00017AB1" w:rsidRPr="00050DEF">
        <w:rPr>
          <w:rFonts w:ascii="Times New Roman" w:hAnsi="Times New Roman" w:cs="Times New Roman"/>
          <w:sz w:val="24"/>
          <w:szCs w:val="24"/>
          <w:lang w:val="en-GB"/>
        </w:rPr>
        <w:t xml:space="preserve"> – no matter what frame the actor would like </w:t>
      </w:r>
      <w:r w:rsidR="009473C7" w:rsidRPr="00050DEF">
        <w:rPr>
          <w:rFonts w:ascii="Times New Roman" w:hAnsi="Times New Roman" w:cs="Times New Roman"/>
          <w:sz w:val="24"/>
          <w:szCs w:val="24"/>
          <w:lang w:val="en-GB"/>
        </w:rPr>
        <w:t xml:space="preserve">see as the </w:t>
      </w:r>
      <w:r w:rsidR="00017AB1" w:rsidRPr="00050DEF">
        <w:rPr>
          <w:rFonts w:ascii="Times New Roman" w:hAnsi="Times New Roman" w:cs="Times New Roman"/>
          <w:sz w:val="24"/>
          <w:szCs w:val="24"/>
          <w:lang w:val="en-GB"/>
        </w:rPr>
        <w:t>domina</w:t>
      </w:r>
      <w:r w:rsidR="009473C7" w:rsidRPr="00050DEF">
        <w:rPr>
          <w:rFonts w:ascii="Times New Roman" w:hAnsi="Times New Roman" w:cs="Times New Roman"/>
          <w:sz w:val="24"/>
          <w:szCs w:val="24"/>
          <w:lang w:val="en-GB"/>
        </w:rPr>
        <w:t>nt macro-frame</w:t>
      </w:r>
      <w:r w:rsidR="00017AB1" w:rsidRPr="00050DEF">
        <w:rPr>
          <w:rFonts w:ascii="Times New Roman" w:hAnsi="Times New Roman" w:cs="Times New Roman"/>
          <w:sz w:val="24"/>
          <w:szCs w:val="24"/>
          <w:lang w:val="en-GB"/>
        </w:rPr>
        <w:t xml:space="preserve"> tomorrow</w:t>
      </w:r>
      <w:r w:rsidR="00E02E66" w:rsidRPr="00050DEF">
        <w:rPr>
          <w:rFonts w:ascii="Times New Roman" w:hAnsi="Times New Roman" w:cs="Times New Roman"/>
          <w:sz w:val="24"/>
          <w:szCs w:val="24"/>
          <w:lang w:val="en-GB"/>
        </w:rPr>
        <w:t xml:space="preserve">. </w:t>
      </w:r>
      <w:r w:rsidR="0020000C" w:rsidRPr="00050DEF">
        <w:rPr>
          <w:rFonts w:ascii="Times New Roman" w:hAnsi="Times New Roman" w:cs="Times New Roman"/>
          <w:sz w:val="24"/>
          <w:szCs w:val="24"/>
          <w:lang w:val="en-GB"/>
        </w:rPr>
        <w:t>In the words of Miller and Riechert (2001: 112), the macro-frame</w:t>
      </w:r>
    </w:p>
    <w:p w14:paraId="47035DDF" w14:textId="77777777" w:rsidR="0020000C" w:rsidRPr="00050DEF" w:rsidRDefault="0020000C" w:rsidP="00633FCF">
      <w:pPr>
        <w:spacing w:after="0" w:line="480" w:lineRule="auto"/>
        <w:rPr>
          <w:rFonts w:ascii="Times New Roman" w:hAnsi="Times New Roman" w:cs="Times New Roman"/>
          <w:sz w:val="24"/>
          <w:szCs w:val="24"/>
          <w:lang w:val="en-GB"/>
        </w:rPr>
      </w:pPr>
    </w:p>
    <w:p w14:paraId="6735114C" w14:textId="3139918F" w:rsidR="0020000C" w:rsidRPr="00050DEF" w:rsidRDefault="0020000C" w:rsidP="00633FCF">
      <w:pPr>
        <w:spacing w:after="0" w:line="480" w:lineRule="auto"/>
        <w:ind w:left="720"/>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…can so dominate that others are delegitimized and given no credence in the media and public discourse. When this occurs the dominant frame could be said to be acting hegemonically, rendering </w:t>
      </w:r>
      <w:r w:rsidR="006C4579">
        <w:rPr>
          <w:rFonts w:ascii="Times New Roman" w:hAnsi="Times New Roman" w:cs="Times New Roman"/>
          <w:sz w:val="24"/>
          <w:szCs w:val="24"/>
          <w:lang w:val="en-GB"/>
        </w:rPr>
        <w:t>‘</w:t>
      </w:r>
      <w:r w:rsidRPr="00050DEF">
        <w:rPr>
          <w:rFonts w:ascii="Times New Roman" w:hAnsi="Times New Roman" w:cs="Times New Roman"/>
          <w:sz w:val="24"/>
          <w:szCs w:val="24"/>
          <w:lang w:val="en-GB"/>
        </w:rPr>
        <w:t>natural</w:t>
      </w:r>
      <w:r w:rsidR="006C457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the prevailing definition of the situation.</w:t>
      </w:r>
    </w:p>
    <w:p w14:paraId="79E56FEA" w14:textId="77777777" w:rsidR="00017AB1" w:rsidRPr="00050DEF" w:rsidRDefault="00017AB1" w:rsidP="00633FCF">
      <w:pPr>
        <w:spacing w:after="0" w:line="480" w:lineRule="auto"/>
        <w:ind w:left="720"/>
        <w:rPr>
          <w:rFonts w:ascii="Times New Roman" w:hAnsi="Times New Roman" w:cs="Times New Roman"/>
          <w:sz w:val="24"/>
          <w:szCs w:val="24"/>
          <w:lang w:val="en-GB"/>
        </w:rPr>
      </w:pPr>
    </w:p>
    <w:p w14:paraId="72036601" w14:textId="632F1221" w:rsidR="00130F56" w:rsidRPr="00050DEF" w:rsidRDefault="00017AB1"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Even if an actor di</w:t>
      </w:r>
      <w:r w:rsidR="00F63592" w:rsidRPr="00050DEF">
        <w:rPr>
          <w:rFonts w:ascii="Times New Roman" w:hAnsi="Times New Roman" w:cs="Times New Roman"/>
          <w:sz w:val="24"/>
          <w:szCs w:val="24"/>
          <w:lang w:val="en-GB"/>
        </w:rPr>
        <w:t>sagrees with the macro-frame, the actor</w:t>
      </w:r>
      <w:r w:rsidRPr="00050DEF">
        <w:rPr>
          <w:rFonts w:ascii="Times New Roman" w:hAnsi="Times New Roman" w:cs="Times New Roman"/>
          <w:sz w:val="24"/>
          <w:szCs w:val="24"/>
          <w:lang w:val="en-GB"/>
        </w:rPr>
        <w:t xml:space="preserve"> still needs to deal with it to remain an effective political force. </w:t>
      </w:r>
      <w:r w:rsidR="00643D65" w:rsidRPr="00050DEF">
        <w:rPr>
          <w:rFonts w:ascii="Times New Roman" w:hAnsi="Times New Roman" w:cs="Times New Roman"/>
          <w:sz w:val="24"/>
          <w:szCs w:val="24"/>
          <w:lang w:val="en-GB"/>
        </w:rPr>
        <w:t xml:space="preserve">From the perspective of interest group research, this makes it vital to understand </w:t>
      </w:r>
      <w:r w:rsidR="00643D65" w:rsidRPr="00050DEF">
        <w:rPr>
          <w:rFonts w:ascii="Times New Roman" w:hAnsi="Times New Roman" w:cs="Times New Roman"/>
          <w:i/>
          <w:sz w:val="24"/>
          <w:szCs w:val="24"/>
          <w:lang w:val="en-GB"/>
        </w:rPr>
        <w:t>how</w:t>
      </w:r>
      <w:r w:rsidR="00643D65" w:rsidRPr="00050DEF">
        <w:rPr>
          <w:rFonts w:ascii="Times New Roman" w:hAnsi="Times New Roman" w:cs="Times New Roman"/>
          <w:sz w:val="24"/>
          <w:szCs w:val="24"/>
          <w:lang w:val="en-GB"/>
        </w:rPr>
        <w:t xml:space="preserve"> interest groups handle </w:t>
      </w:r>
      <w:r w:rsidR="00FE72A7" w:rsidRPr="00050DEF">
        <w:rPr>
          <w:rFonts w:ascii="Times New Roman" w:hAnsi="Times New Roman" w:cs="Times New Roman"/>
          <w:sz w:val="24"/>
          <w:szCs w:val="24"/>
          <w:lang w:val="en-GB"/>
        </w:rPr>
        <w:t>misaligned</w:t>
      </w:r>
      <w:r w:rsidR="00643D65" w:rsidRPr="00050DEF">
        <w:rPr>
          <w:rFonts w:ascii="Times New Roman" w:hAnsi="Times New Roman" w:cs="Times New Roman"/>
          <w:sz w:val="24"/>
          <w:szCs w:val="24"/>
          <w:lang w:val="en-GB"/>
        </w:rPr>
        <w:t xml:space="preserve"> macro-frames. </w:t>
      </w:r>
      <w:r w:rsidR="00A0787F" w:rsidRPr="00050DEF">
        <w:rPr>
          <w:rFonts w:ascii="Times New Roman" w:hAnsi="Times New Roman" w:cs="Times New Roman"/>
          <w:sz w:val="24"/>
          <w:szCs w:val="24"/>
          <w:lang w:val="en-GB"/>
        </w:rPr>
        <w:t>This is the pu</w:t>
      </w:r>
      <w:r w:rsidR="00240F4D" w:rsidRPr="00050DEF">
        <w:rPr>
          <w:rFonts w:ascii="Times New Roman" w:hAnsi="Times New Roman" w:cs="Times New Roman"/>
          <w:sz w:val="24"/>
          <w:szCs w:val="24"/>
          <w:lang w:val="en-GB"/>
        </w:rPr>
        <w:t>rpose of the rest of the paper.</w:t>
      </w:r>
      <w:r w:rsidR="00244221" w:rsidRPr="00050DEF">
        <w:rPr>
          <w:rFonts w:ascii="Times New Roman" w:hAnsi="Times New Roman" w:cs="Times New Roman"/>
          <w:sz w:val="24"/>
          <w:szCs w:val="24"/>
          <w:lang w:val="en-GB"/>
        </w:rPr>
        <w:t xml:space="preserve"> In the building of our typology, we assume that interest groups behave rationally in the sense that their fram</w:t>
      </w:r>
      <w:r w:rsidR="001D0903" w:rsidRPr="00050DEF">
        <w:rPr>
          <w:rFonts w:ascii="Times New Roman" w:hAnsi="Times New Roman" w:cs="Times New Roman"/>
          <w:sz w:val="24"/>
          <w:szCs w:val="24"/>
          <w:lang w:val="en-GB"/>
        </w:rPr>
        <w:t xml:space="preserve">ing aligns with </w:t>
      </w:r>
      <w:r w:rsidR="00244221" w:rsidRPr="00050DEF">
        <w:rPr>
          <w:rFonts w:ascii="Times New Roman" w:hAnsi="Times New Roman" w:cs="Times New Roman"/>
          <w:sz w:val="24"/>
          <w:szCs w:val="24"/>
          <w:lang w:val="en-GB"/>
        </w:rPr>
        <w:t xml:space="preserve">their </w:t>
      </w:r>
      <w:r w:rsidR="001D0903" w:rsidRPr="00050DEF">
        <w:rPr>
          <w:rFonts w:ascii="Times New Roman" w:hAnsi="Times New Roman" w:cs="Times New Roman"/>
          <w:sz w:val="24"/>
          <w:szCs w:val="24"/>
          <w:lang w:val="en-GB"/>
        </w:rPr>
        <w:t>basic interests. That is to say</w:t>
      </w:r>
      <w:r w:rsidR="00244221" w:rsidRPr="00050DEF">
        <w:rPr>
          <w:rFonts w:ascii="Times New Roman" w:hAnsi="Times New Roman" w:cs="Times New Roman"/>
          <w:sz w:val="24"/>
          <w:szCs w:val="24"/>
          <w:lang w:val="en-GB"/>
        </w:rPr>
        <w:t xml:space="preserve"> that we are developing a typology to </w:t>
      </w:r>
      <w:r w:rsidR="001D0903" w:rsidRPr="00050DEF">
        <w:rPr>
          <w:rFonts w:ascii="Times New Roman" w:hAnsi="Times New Roman" w:cs="Times New Roman"/>
          <w:sz w:val="24"/>
          <w:szCs w:val="24"/>
          <w:lang w:val="en-GB"/>
        </w:rPr>
        <w:t>a scenario</w:t>
      </w:r>
      <w:r w:rsidR="00244221" w:rsidRPr="00050DEF">
        <w:rPr>
          <w:rFonts w:ascii="Times New Roman" w:hAnsi="Times New Roman" w:cs="Times New Roman"/>
          <w:sz w:val="24"/>
          <w:szCs w:val="24"/>
          <w:lang w:val="en-GB"/>
        </w:rPr>
        <w:t xml:space="preserve"> </w:t>
      </w:r>
      <w:r w:rsidR="001D0903" w:rsidRPr="00050DEF">
        <w:rPr>
          <w:rFonts w:ascii="Times New Roman" w:hAnsi="Times New Roman" w:cs="Times New Roman"/>
          <w:sz w:val="24"/>
          <w:szCs w:val="24"/>
          <w:lang w:val="en-GB"/>
        </w:rPr>
        <w:t xml:space="preserve">in which </w:t>
      </w:r>
      <w:r w:rsidR="005B0683" w:rsidRPr="00050DEF">
        <w:rPr>
          <w:rFonts w:ascii="Times New Roman" w:hAnsi="Times New Roman" w:cs="Times New Roman"/>
          <w:sz w:val="24"/>
          <w:szCs w:val="24"/>
          <w:lang w:val="en-GB"/>
        </w:rPr>
        <w:t>an issue has been around for a long time</w:t>
      </w:r>
      <w:r w:rsidR="00F77CBA" w:rsidRPr="00050DEF">
        <w:rPr>
          <w:rFonts w:ascii="Times New Roman" w:hAnsi="Times New Roman" w:cs="Times New Roman"/>
          <w:sz w:val="24"/>
          <w:szCs w:val="24"/>
          <w:lang w:val="en-GB"/>
        </w:rPr>
        <w:t xml:space="preserve"> together with the interest groups. </w:t>
      </w:r>
      <w:r w:rsidR="005B0683" w:rsidRPr="00050DEF">
        <w:rPr>
          <w:rFonts w:ascii="Times New Roman" w:hAnsi="Times New Roman" w:cs="Times New Roman"/>
          <w:sz w:val="24"/>
          <w:szCs w:val="24"/>
          <w:lang w:val="en-GB"/>
        </w:rPr>
        <w:t xml:space="preserve">Their </w:t>
      </w:r>
      <w:r w:rsidR="00F51DE8" w:rsidRPr="00050DEF">
        <w:rPr>
          <w:rFonts w:ascii="Times New Roman" w:hAnsi="Times New Roman" w:cs="Times New Roman"/>
          <w:sz w:val="24"/>
          <w:szCs w:val="24"/>
          <w:lang w:val="en-GB"/>
        </w:rPr>
        <w:t>interests are well-</w:t>
      </w:r>
      <w:r w:rsidR="005B0683" w:rsidRPr="00050DEF">
        <w:rPr>
          <w:rFonts w:ascii="Times New Roman" w:hAnsi="Times New Roman" w:cs="Times New Roman"/>
          <w:sz w:val="24"/>
          <w:szCs w:val="24"/>
          <w:lang w:val="en-GB"/>
        </w:rPr>
        <w:t xml:space="preserve">established </w:t>
      </w:r>
      <w:r w:rsidR="00F51DE8" w:rsidRPr="00050DEF">
        <w:rPr>
          <w:rFonts w:ascii="Times New Roman" w:hAnsi="Times New Roman" w:cs="Times New Roman"/>
          <w:sz w:val="24"/>
          <w:szCs w:val="24"/>
          <w:lang w:val="en-GB"/>
        </w:rPr>
        <w:t xml:space="preserve">and </w:t>
      </w:r>
      <w:r w:rsidR="00F77CBA" w:rsidRPr="00050DEF">
        <w:rPr>
          <w:rFonts w:ascii="Times New Roman" w:hAnsi="Times New Roman" w:cs="Times New Roman"/>
          <w:sz w:val="24"/>
          <w:szCs w:val="24"/>
          <w:lang w:val="en-GB"/>
        </w:rPr>
        <w:t xml:space="preserve">the </w:t>
      </w:r>
      <w:r w:rsidR="00F51DE8" w:rsidRPr="00050DEF">
        <w:rPr>
          <w:rFonts w:ascii="Times New Roman" w:hAnsi="Times New Roman" w:cs="Times New Roman"/>
          <w:sz w:val="24"/>
          <w:szCs w:val="24"/>
          <w:lang w:val="en-GB"/>
        </w:rPr>
        <w:t xml:space="preserve">change in the macro-frame </w:t>
      </w:r>
      <w:r w:rsidR="00F77CBA" w:rsidRPr="00050DEF">
        <w:rPr>
          <w:rFonts w:ascii="Times New Roman" w:hAnsi="Times New Roman" w:cs="Times New Roman"/>
          <w:sz w:val="24"/>
          <w:szCs w:val="24"/>
          <w:lang w:val="en-GB"/>
        </w:rPr>
        <w:t>reshuffle</w:t>
      </w:r>
      <w:r w:rsidR="00077F50">
        <w:rPr>
          <w:rFonts w:ascii="Times New Roman" w:hAnsi="Times New Roman" w:cs="Times New Roman"/>
          <w:sz w:val="24"/>
          <w:szCs w:val="24"/>
          <w:lang w:val="en-GB"/>
        </w:rPr>
        <w:t>s</w:t>
      </w:r>
      <w:r w:rsidR="00F77CBA" w:rsidRPr="00050DEF">
        <w:rPr>
          <w:rFonts w:ascii="Times New Roman" w:hAnsi="Times New Roman" w:cs="Times New Roman"/>
          <w:sz w:val="24"/>
          <w:szCs w:val="24"/>
          <w:lang w:val="en-GB"/>
        </w:rPr>
        <w:t xml:space="preserve"> much used frames rather </w:t>
      </w:r>
      <w:r w:rsidR="00F77CBA" w:rsidRPr="00050DEF">
        <w:rPr>
          <w:rFonts w:ascii="Times New Roman" w:hAnsi="Times New Roman" w:cs="Times New Roman"/>
          <w:sz w:val="24"/>
          <w:szCs w:val="24"/>
          <w:lang w:val="en-GB"/>
        </w:rPr>
        <w:lastRenderedPageBreak/>
        <w:t xml:space="preserve">than </w:t>
      </w:r>
      <w:r w:rsidR="00F51DE8" w:rsidRPr="00050DEF">
        <w:rPr>
          <w:rFonts w:ascii="Times New Roman" w:hAnsi="Times New Roman" w:cs="Times New Roman"/>
          <w:sz w:val="24"/>
          <w:szCs w:val="24"/>
          <w:lang w:val="en-GB"/>
        </w:rPr>
        <w:t>breed</w:t>
      </w:r>
      <w:r w:rsidR="00077F50">
        <w:rPr>
          <w:rFonts w:ascii="Times New Roman" w:hAnsi="Times New Roman" w:cs="Times New Roman"/>
          <w:sz w:val="24"/>
          <w:szCs w:val="24"/>
          <w:lang w:val="en-GB"/>
        </w:rPr>
        <w:t>s</w:t>
      </w:r>
      <w:r w:rsidR="00F51DE8" w:rsidRPr="00050DEF">
        <w:rPr>
          <w:rFonts w:ascii="Times New Roman" w:hAnsi="Times New Roman" w:cs="Times New Roman"/>
          <w:sz w:val="24"/>
          <w:szCs w:val="24"/>
          <w:lang w:val="en-GB"/>
        </w:rPr>
        <w:t xml:space="preserve"> an entirely new issue </w:t>
      </w:r>
      <w:r w:rsidR="00F77CBA" w:rsidRPr="00050DEF">
        <w:rPr>
          <w:rFonts w:ascii="Times New Roman" w:hAnsi="Times New Roman" w:cs="Times New Roman"/>
          <w:sz w:val="24"/>
          <w:szCs w:val="24"/>
          <w:lang w:val="en-GB"/>
        </w:rPr>
        <w:t>or introduce</w:t>
      </w:r>
      <w:r w:rsidR="00077F50">
        <w:rPr>
          <w:rFonts w:ascii="Times New Roman" w:hAnsi="Times New Roman" w:cs="Times New Roman"/>
          <w:sz w:val="24"/>
          <w:szCs w:val="24"/>
          <w:lang w:val="en-GB"/>
        </w:rPr>
        <w:t>s</w:t>
      </w:r>
      <w:r w:rsidR="00F77CBA" w:rsidRPr="00050DEF">
        <w:rPr>
          <w:rFonts w:ascii="Times New Roman" w:hAnsi="Times New Roman" w:cs="Times New Roman"/>
          <w:sz w:val="24"/>
          <w:szCs w:val="24"/>
          <w:lang w:val="en-GB"/>
        </w:rPr>
        <w:t xml:space="preserve"> </w:t>
      </w:r>
      <w:r w:rsidR="00EF2944" w:rsidRPr="00050DEF">
        <w:rPr>
          <w:rFonts w:ascii="Times New Roman" w:hAnsi="Times New Roman" w:cs="Times New Roman"/>
          <w:sz w:val="24"/>
          <w:szCs w:val="24"/>
          <w:lang w:val="en-GB"/>
        </w:rPr>
        <w:t>a completely</w:t>
      </w:r>
      <w:r w:rsidR="00F77CBA" w:rsidRPr="00050DEF">
        <w:rPr>
          <w:rFonts w:ascii="Times New Roman" w:hAnsi="Times New Roman" w:cs="Times New Roman"/>
          <w:sz w:val="24"/>
          <w:szCs w:val="24"/>
          <w:lang w:val="en-GB"/>
        </w:rPr>
        <w:t xml:space="preserve"> new way of viewing an issue in </w:t>
      </w:r>
      <w:r w:rsidR="00F51DE8" w:rsidRPr="00050DEF">
        <w:rPr>
          <w:rFonts w:ascii="Times New Roman" w:hAnsi="Times New Roman" w:cs="Times New Roman"/>
          <w:sz w:val="24"/>
          <w:szCs w:val="24"/>
          <w:lang w:val="en-GB"/>
        </w:rPr>
        <w:t>which interest groups have to find out their interests</w:t>
      </w:r>
      <w:r w:rsidR="005B0683" w:rsidRPr="00050DEF">
        <w:rPr>
          <w:rFonts w:ascii="Times New Roman" w:hAnsi="Times New Roman" w:cs="Times New Roman"/>
          <w:sz w:val="24"/>
          <w:szCs w:val="24"/>
          <w:lang w:val="en-GB"/>
        </w:rPr>
        <w:t xml:space="preserve"> (</w:t>
      </w:r>
      <w:r w:rsidR="00FA22C6" w:rsidRPr="00050DEF">
        <w:rPr>
          <w:rFonts w:ascii="Times New Roman" w:hAnsi="Times New Roman" w:cs="Times New Roman"/>
          <w:sz w:val="24"/>
          <w:szCs w:val="24"/>
          <w:lang w:val="en-GB"/>
        </w:rPr>
        <w:t xml:space="preserve">unlike the policy development on biotechnology in the EU in the 1990s, cf. </w:t>
      </w:r>
      <w:r w:rsidR="005B0683" w:rsidRPr="00050DEF">
        <w:rPr>
          <w:rFonts w:ascii="Times New Roman" w:hAnsi="Times New Roman" w:cs="Times New Roman"/>
          <w:sz w:val="24"/>
          <w:szCs w:val="24"/>
          <w:lang w:val="en-GB"/>
        </w:rPr>
        <w:t xml:space="preserve">Daviter </w:t>
      </w:r>
      <w:r w:rsidR="00931B0A">
        <w:rPr>
          <w:rFonts w:ascii="Times New Roman" w:hAnsi="Times New Roman" w:cs="Times New Roman"/>
          <w:sz w:val="24"/>
          <w:szCs w:val="24"/>
          <w:lang w:val="en-GB"/>
        </w:rPr>
        <w:t>(</w:t>
      </w:r>
      <w:r w:rsidR="005B0683" w:rsidRPr="00050DEF">
        <w:rPr>
          <w:rFonts w:ascii="Times New Roman" w:hAnsi="Times New Roman" w:cs="Times New Roman"/>
          <w:sz w:val="24"/>
          <w:szCs w:val="24"/>
          <w:lang w:val="en-GB"/>
        </w:rPr>
        <w:t>200</w:t>
      </w:r>
      <w:r w:rsidR="00FA22C6" w:rsidRPr="00050DEF">
        <w:rPr>
          <w:rFonts w:ascii="Times New Roman" w:hAnsi="Times New Roman" w:cs="Times New Roman"/>
          <w:sz w:val="24"/>
          <w:szCs w:val="24"/>
          <w:lang w:val="en-GB"/>
        </w:rPr>
        <w:t>9</w:t>
      </w:r>
      <w:r w:rsidR="00931B0A">
        <w:rPr>
          <w:rFonts w:ascii="Times New Roman" w:hAnsi="Times New Roman" w:cs="Times New Roman"/>
          <w:sz w:val="24"/>
          <w:szCs w:val="24"/>
          <w:lang w:val="en-GB"/>
        </w:rPr>
        <w:t>)</w:t>
      </w:r>
      <w:r w:rsidR="005B0683" w:rsidRPr="00050DEF">
        <w:rPr>
          <w:rFonts w:ascii="Times New Roman" w:hAnsi="Times New Roman" w:cs="Times New Roman"/>
          <w:sz w:val="24"/>
          <w:szCs w:val="24"/>
          <w:lang w:val="en-GB"/>
        </w:rPr>
        <w:t>)</w:t>
      </w:r>
      <w:r w:rsidR="00F51DE8" w:rsidRPr="00050DEF">
        <w:rPr>
          <w:rFonts w:ascii="Times New Roman" w:hAnsi="Times New Roman" w:cs="Times New Roman"/>
          <w:sz w:val="24"/>
          <w:szCs w:val="24"/>
          <w:lang w:val="en-GB"/>
        </w:rPr>
        <w:t xml:space="preserve">. </w:t>
      </w:r>
    </w:p>
    <w:p w14:paraId="076D3A44" w14:textId="77777777" w:rsidR="00F77CBA" w:rsidRPr="00050DEF" w:rsidRDefault="00F77CBA" w:rsidP="00633FCF">
      <w:pPr>
        <w:spacing w:after="0" w:line="480" w:lineRule="auto"/>
        <w:rPr>
          <w:rFonts w:ascii="Times New Roman" w:hAnsi="Times New Roman" w:cs="Times New Roman"/>
          <w:sz w:val="24"/>
          <w:szCs w:val="24"/>
          <w:lang w:val="en-GB"/>
        </w:rPr>
      </w:pPr>
    </w:p>
    <w:p w14:paraId="0460E699" w14:textId="77777777" w:rsidR="00240F4D" w:rsidRPr="00050DEF" w:rsidRDefault="008F2FC2"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b/>
          <w:sz w:val="24"/>
          <w:szCs w:val="24"/>
          <w:lang w:val="en-GB"/>
        </w:rPr>
        <w:t>Interest groups’ frame strategies</w:t>
      </w:r>
    </w:p>
    <w:p w14:paraId="147B2F49" w14:textId="2B1BF48F" w:rsidR="00351C22" w:rsidRPr="00050DEF" w:rsidRDefault="00B0401C"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An interest group that finds itself on the receiving end of a misaligned macro-frame – that is, one that militates against the interest group’s </w:t>
      </w:r>
      <w:r w:rsidR="002F1650" w:rsidRPr="00050DEF">
        <w:rPr>
          <w:rFonts w:ascii="Times New Roman" w:hAnsi="Times New Roman" w:cs="Times New Roman"/>
          <w:sz w:val="24"/>
          <w:szCs w:val="24"/>
          <w:lang w:val="en-GB"/>
        </w:rPr>
        <w:t xml:space="preserve">policy </w:t>
      </w:r>
      <w:r w:rsidRPr="00050DEF">
        <w:rPr>
          <w:rFonts w:ascii="Times New Roman" w:hAnsi="Times New Roman" w:cs="Times New Roman"/>
          <w:sz w:val="24"/>
          <w:szCs w:val="24"/>
          <w:lang w:val="en-GB"/>
        </w:rPr>
        <w:t xml:space="preserve">goals – have a menu of options available. </w:t>
      </w:r>
      <w:r w:rsidR="00C61074" w:rsidRPr="00050DEF">
        <w:rPr>
          <w:rFonts w:ascii="Times New Roman" w:hAnsi="Times New Roman" w:cs="Times New Roman"/>
          <w:sz w:val="24"/>
          <w:szCs w:val="24"/>
          <w:lang w:val="en-GB"/>
        </w:rPr>
        <w:t>We can organi</w:t>
      </w:r>
      <w:r w:rsidR="002B3266">
        <w:rPr>
          <w:rFonts w:ascii="Times New Roman" w:hAnsi="Times New Roman" w:cs="Times New Roman"/>
          <w:sz w:val="24"/>
          <w:szCs w:val="24"/>
          <w:lang w:val="en-GB"/>
        </w:rPr>
        <w:t>s</w:t>
      </w:r>
      <w:r w:rsidR="00C61074" w:rsidRPr="00050DEF">
        <w:rPr>
          <w:rFonts w:ascii="Times New Roman" w:hAnsi="Times New Roman" w:cs="Times New Roman"/>
          <w:sz w:val="24"/>
          <w:szCs w:val="24"/>
          <w:lang w:val="en-GB"/>
        </w:rPr>
        <w:t>e the menu along two dimensions. The first is</w:t>
      </w:r>
      <w:r w:rsidR="00244FA8" w:rsidRPr="00050DEF">
        <w:rPr>
          <w:rFonts w:ascii="Times New Roman" w:hAnsi="Times New Roman" w:cs="Times New Roman"/>
          <w:sz w:val="24"/>
          <w:szCs w:val="24"/>
          <w:lang w:val="en-GB"/>
        </w:rPr>
        <w:t xml:space="preserve"> the degree of</w:t>
      </w:r>
      <w:r w:rsidR="00C61074" w:rsidRPr="00050DEF">
        <w:rPr>
          <w:rFonts w:ascii="Times New Roman" w:hAnsi="Times New Roman" w:cs="Times New Roman"/>
          <w:sz w:val="24"/>
          <w:szCs w:val="24"/>
          <w:lang w:val="en-GB"/>
        </w:rPr>
        <w:t xml:space="preserve"> engagement with the macro-frame. Either</w:t>
      </w:r>
      <w:r w:rsidR="00157949" w:rsidRPr="00050DEF">
        <w:rPr>
          <w:rFonts w:ascii="Times New Roman" w:hAnsi="Times New Roman" w:cs="Times New Roman"/>
          <w:sz w:val="24"/>
          <w:szCs w:val="24"/>
          <w:lang w:val="en-GB"/>
        </w:rPr>
        <w:t xml:space="preserve"> an interest group actively engage</w:t>
      </w:r>
      <w:r w:rsidR="002B3266">
        <w:rPr>
          <w:rFonts w:ascii="Times New Roman" w:hAnsi="Times New Roman" w:cs="Times New Roman"/>
          <w:sz w:val="24"/>
          <w:szCs w:val="24"/>
          <w:lang w:val="en-GB"/>
        </w:rPr>
        <w:t>s</w:t>
      </w:r>
      <w:r w:rsidR="00157949" w:rsidRPr="00050DEF">
        <w:rPr>
          <w:rFonts w:ascii="Times New Roman" w:hAnsi="Times New Roman" w:cs="Times New Roman"/>
          <w:sz w:val="24"/>
          <w:szCs w:val="24"/>
          <w:lang w:val="en-GB"/>
        </w:rPr>
        <w:t xml:space="preserve"> with the macro-frame, or it ignores it. </w:t>
      </w:r>
      <w:r w:rsidR="00286DC9" w:rsidRPr="00050DEF">
        <w:rPr>
          <w:rFonts w:ascii="Times New Roman" w:hAnsi="Times New Roman" w:cs="Times New Roman"/>
          <w:sz w:val="24"/>
          <w:szCs w:val="24"/>
          <w:lang w:val="en-GB"/>
        </w:rPr>
        <w:t>As argued by Riker</w:t>
      </w:r>
      <w:r w:rsidR="00C66985" w:rsidRPr="00050DEF">
        <w:rPr>
          <w:rFonts w:ascii="Times New Roman" w:hAnsi="Times New Roman" w:cs="Times New Roman"/>
          <w:sz w:val="24"/>
          <w:szCs w:val="24"/>
          <w:lang w:val="en-GB"/>
        </w:rPr>
        <w:t xml:space="preserve"> </w:t>
      </w:r>
      <w:r w:rsidR="00C66985" w:rsidRPr="00050DEF">
        <w:rPr>
          <w:rFonts w:ascii="Times New Roman" w:hAnsi="Times New Roman" w:cs="Times New Roman"/>
          <w:sz w:val="24"/>
          <w:lang w:val="en-GB"/>
        </w:rPr>
        <w:t>(1996)</w:t>
      </w:r>
      <w:r w:rsidR="00286DC9" w:rsidRPr="00050DEF">
        <w:rPr>
          <w:rFonts w:ascii="Times New Roman" w:hAnsi="Times New Roman" w:cs="Times New Roman"/>
          <w:sz w:val="24"/>
          <w:szCs w:val="24"/>
          <w:lang w:val="en-GB"/>
        </w:rPr>
        <w:t xml:space="preserve"> in the context of political campaigns, actors can often be better off by ignoring an issue rather than engaging with it</w:t>
      </w:r>
      <w:r w:rsidR="0049071D" w:rsidRPr="00050DEF">
        <w:rPr>
          <w:rFonts w:ascii="Times New Roman" w:hAnsi="Times New Roman" w:cs="Times New Roman"/>
          <w:sz w:val="24"/>
          <w:szCs w:val="24"/>
          <w:lang w:val="en-GB"/>
        </w:rPr>
        <w:t xml:space="preserve">, although some modicum of engagement </w:t>
      </w:r>
      <w:r w:rsidR="002B3266">
        <w:rPr>
          <w:rFonts w:ascii="Times New Roman" w:hAnsi="Times New Roman" w:cs="Times New Roman"/>
          <w:sz w:val="24"/>
          <w:szCs w:val="24"/>
          <w:lang w:val="en-GB"/>
        </w:rPr>
        <w:t xml:space="preserve">is </w:t>
      </w:r>
      <w:r w:rsidR="0049071D" w:rsidRPr="00050DEF">
        <w:rPr>
          <w:rFonts w:ascii="Times New Roman" w:hAnsi="Times New Roman" w:cs="Times New Roman"/>
          <w:sz w:val="24"/>
          <w:szCs w:val="24"/>
          <w:lang w:val="en-GB"/>
        </w:rPr>
        <w:t>frequently unavoidable</w:t>
      </w:r>
      <w:r w:rsidR="00C66985" w:rsidRPr="00050DEF">
        <w:rPr>
          <w:rFonts w:ascii="Times New Roman" w:hAnsi="Times New Roman" w:cs="Times New Roman"/>
          <w:sz w:val="24"/>
          <w:szCs w:val="24"/>
          <w:lang w:val="en-GB"/>
        </w:rPr>
        <w:t xml:space="preserve"> </w:t>
      </w:r>
      <w:r w:rsidR="00C66985" w:rsidRPr="00050DEF">
        <w:rPr>
          <w:rFonts w:ascii="Times New Roman" w:hAnsi="Times New Roman" w:cs="Times New Roman"/>
          <w:sz w:val="24"/>
          <w:lang w:val="en-GB"/>
        </w:rPr>
        <w:t>(Sigelman and Buell 2004)</w:t>
      </w:r>
      <w:r w:rsidR="0049071D" w:rsidRPr="00050DEF">
        <w:rPr>
          <w:rFonts w:ascii="Times New Roman" w:hAnsi="Times New Roman" w:cs="Times New Roman"/>
          <w:sz w:val="24"/>
          <w:szCs w:val="24"/>
          <w:lang w:val="en-GB"/>
        </w:rPr>
        <w:t xml:space="preserve">. It is plausible that the same logic applies to interest groups and macro-frames because engagement might both be interpreted as agreement and increase the </w:t>
      </w:r>
      <w:r w:rsidR="00FB6E48">
        <w:rPr>
          <w:rFonts w:ascii="Times New Roman" w:hAnsi="Times New Roman" w:cs="Times New Roman"/>
          <w:sz w:val="24"/>
          <w:szCs w:val="24"/>
          <w:lang w:val="en-GB"/>
        </w:rPr>
        <w:t xml:space="preserve">salience of the </w:t>
      </w:r>
      <w:r w:rsidR="0049071D" w:rsidRPr="00050DEF">
        <w:rPr>
          <w:rFonts w:ascii="Times New Roman" w:hAnsi="Times New Roman" w:cs="Times New Roman"/>
          <w:sz w:val="24"/>
          <w:szCs w:val="24"/>
          <w:lang w:val="en-GB"/>
        </w:rPr>
        <w:t>issue, potentially leading to undesired policies</w:t>
      </w:r>
      <w:r w:rsidR="008920F0" w:rsidRPr="00050DEF">
        <w:rPr>
          <w:rFonts w:ascii="Times New Roman" w:hAnsi="Times New Roman" w:cs="Times New Roman"/>
          <w:sz w:val="24"/>
          <w:szCs w:val="24"/>
          <w:lang w:val="en-GB"/>
        </w:rPr>
        <w:t xml:space="preserve"> (given that policies are likely to be guided by the unwelcome macro-frame)</w:t>
      </w:r>
      <w:r w:rsidR="0049071D" w:rsidRPr="00050DEF">
        <w:rPr>
          <w:rFonts w:ascii="Times New Roman" w:hAnsi="Times New Roman" w:cs="Times New Roman"/>
          <w:sz w:val="24"/>
          <w:szCs w:val="24"/>
          <w:lang w:val="en-GB"/>
        </w:rPr>
        <w:t xml:space="preserve">. </w:t>
      </w:r>
      <w:r w:rsidR="009D1417" w:rsidRPr="00050DEF">
        <w:rPr>
          <w:rFonts w:ascii="Times New Roman" w:hAnsi="Times New Roman" w:cs="Times New Roman"/>
          <w:sz w:val="24"/>
          <w:szCs w:val="24"/>
          <w:lang w:val="en-GB"/>
        </w:rPr>
        <w:t>As an alternative, an</w:t>
      </w:r>
      <w:r w:rsidR="008F1805" w:rsidRPr="00050DEF">
        <w:rPr>
          <w:rFonts w:ascii="Times New Roman" w:hAnsi="Times New Roman" w:cs="Times New Roman"/>
          <w:sz w:val="24"/>
          <w:szCs w:val="24"/>
          <w:lang w:val="en-GB"/>
        </w:rPr>
        <w:t xml:space="preserve"> interest group </w:t>
      </w:r>
      <w:r w:rsidR="009D1417" w:rsidRPr="00050DEF">
        <w:rPr>
          <w:rFonts w:ascii="Times New Roman" w:hAnsi="Times New Roman" w:cs="Times New Roman"/>
          <w:sz w:val="24"/>
          <w:szCs w:val="24"/>
          <w:lang w:val="en-GB"/>
        </w:rPr>
        <w:t xml:space="preserve">may opt for </w:t>
      </w:r>
      <w:r w:rsidR="00B52D72" w:rsidRPr="00050DEF">
        <w:rPr>
          <w:rFonts w:ascii="Times New Roman" w:hAnsi="Times New Roman" w:cs="Times New Roman"/>
          <w:sz w:val="24"/>
          <w:szCs w:val="24"/>
          <w:lang w:val="en-GB"/>
        </w:rPr>
        <w:t xml:space="preserve">lobbying </w:t>
      </w:r>
      <w:r w:rsidR="000321B1" w:rsidRPr="00050DEF">
        <w:rPr>
          <w:rFonts w:ascii="Times New Roman" w:hAnsi="Times New Roman" w:cs="Times New Roman"/>
          <w:sz w:val="24"/>
          <w:szCs w:val="24"/>
          <w:lang w:val="en-GB"/>
        </w:rPr>
        <w:t xml:space="preserve">inside parliament (Binderkrantz </w:t>
      </w:r>
      <w:r w:rsidR="000321B1" w:rsidRPr="00050DEF">
        <w:rPr>
          <w:rFonts w:ascii="Times New Roman" w:hAnsi="Times New Roman" w:cs="Times New Roman"/>
          <w:iCs/>
          <w:sz w:val="24"/>
          <w:szCs w:val="24"/>
          <w:lang w:val="en-GB"/>
        </w:rPr>
        <w:t>et al.</w:t>
      </w:r>
      <w:r w:rsidR="000321B1" w:rsidRPr="00050DEF">
        <w:rPr>
          <w:rFonts w:ascii="Times New Roman" w:hAnsi="Times New Roman" w:cs="Times New Roman"/>
          <w:sz w:val="24"/>
          <w:szCs w:val="24"/>
          <w:lang w:val="en-GB"/>
        </w:rPr>
        <w:t xml:space="preserve"> 2015).</w:t>
      </w:r>
      <w:r w:rsidR="008F1805" w:rsidRPr="00050DEF">
        <w:rPr>
          <w:rFonts w:ascii="Times New Roman" w:hAnsi="Times New Roman" w:cs="Times New Roman"/>
          <w:sz w:val="24"/>
          <w:szCs w:val="24"/>
          <w:lang w:val="en-GB"/>
        </w:rPr>
        <w:t xml:space="preserve"> </w:t>
      </w:r>
    </w:p>
    <w:p w14:paraId="54D1C3BB" w14:textId="6DB5B7A4" w:rsidR="008920F0" w:rsidRPr="00050DEF" w:rsidRDefault="00157949" w:rsidP="00E924E9">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second </w:t>
      </w:r>
      <w:r w:rsidR="00244FA8" w:rsidRPr="00050DEF">
        <w:rPr>
          <w:rFonts w:ascii="Times New Roman" w:hAnsi="Times New Roman" w:cs="Times New Roman"/>
          <w:sz w:val="24"/>
          <w:szCs w:val="24"/>
          <w:lang w:val="en-GB"/>
        </w:rPr>
        <w:t xml:space="preserve">dimension </w:t>
      </w:r>
      <w:r w:rsidR="000D3708" w:rsidRPr="00050DEF">
        <w:rPr>
          <w:rFonts w:ascii="Times New Roman" w:hAnsi="Times New Roman" w:cs="Times New Roman"/>
          <w:sz w:val="24"/>
          <w:szCs w:val="24"/>
          <w:lang w:val="en-GB"/>
        </w:rPr>
        <w:t xml:space="preserve">is </w:t>
      </w:r>
      <w:r w:rsidR="00244FA8" w:rsidRPr="00050DEF">
        <w:rPr>
          <w:rFonts w:ascii="Times New Roman" w:hAnsi="Times New Roman" w:cs="Times New Roman"/>
          <w:sz w:val="24"/>
          <w:szCs w:val="24"/>
          <w:lang w:val="en-GB"/>
        </w:rPr>
        <w:t xml:space="preserve">the degree to which </w:t>
      </w:r>
      <w:r w:rsidR="000D3708" w:rsidRPr="00050DEF">
        <w:rPr>
          <w:rFonts w:ascii="Times New Roman" w:hAnsi="Times New Roman" w:cs="Times New Roman"/>
          <w:sz w:val="24"/>
          <w:szCs w:val="24"/>
          <w:lang w:val="en-GB"/>
        </w:rPr>
        <w:t>the interest group</w:t>
      </w:r>
      <w:r w:rsidR="00244FA8" w:rsidRPr="00050DEF">
        <w:rPr>
          <w:rFonts w:ascii="Times New Roman" w:hAnsi="Times New Roman" w:cs="Times New Roman"/>
          <w:sz w:val="24"/>
          <w:szCs w:val="24"/>
          <w:lang w:val="en-GB"/>
        </w:rPr>
        <w:t xml:space="preserve"> promote</w:t>
      </w:r>
      <w:r w:rsidR="002F1650" w:rsidRPr="00050DEF">
        <w:rPr>
          <w:rFonts w:ascii="Times New Roman" w:hAnsi="Times New Roman" w:cs="Times New Roman"/>
          <w:sz w:val="24"/>
          <w:szCs w:val="24"/>
          <w:lang w:val="en-GB"/>
        </w:rPr>
        <w:t>s</w:t>
      </w:r>
      <w:r w:rsidR="00244FA8" w:rsidRPr="00050DEF">
        <w:rPr>
          <w:rFonts w:ascii="Times New Roman" w:hAnsi="Times New Roman" w:cs="Times New Roman"/>
          <w:sz w:val="24"/>
          <w:szCs w:val="24"/>
          <w:lang w:val="en-GB"/>
        </w:rPr>
        <w:t xml:space="preserve"> its</w:t>
      </w:r>
      <w:r w:rsidR="000D3708" w:rsidRPr="00050DEF">
        <w:rPr>
          <w:rFonts w:ascii="Times New Roman" w:hAnsi="Times New Roman" w:cs="Times New Roman"/>
          <w:sz w:val="24"/>
          <w:szCs w:val="24"/>
          <w:lang w:val="en-GB"/>
        </w:rPr>
        <w:t xml:space="preserve"> own preferred micro-frame</w:t>
      </w:r>
      <w:r w:rsidRPr="00050DEF">
        <w:rPr>
          <w:rFonts w:ascii="Times New Roman" w:hAnsi="Times New Roman" w:cs="Times New Roman"/>
          <w:sz w:val="24"/>
          <w:szCs w:val="24"/>
          <w:lang w:val="en-GB"/>
        </w:rPr>
        <w:t xml:space="preserve">. </w:t>
      </w:r>
      <w:r w:rsidR="000D3708" w:rsidRPr="00050DEF">
        <w:rPr>
          <w:rFonts w:ascii="Times New Roman" w:hAnsi="Times New Roman" w:cs="Times New Roman"/>
          <w:sz w:val="24"/>
          <w:szCs w:val="24"/>
          <w:lang w:val="en-GB"/>
        </w:rPr>
        <w:t>In some instances</w:t>
      </w:r>
      <w:r w:rsidR="008030C4" w:rsidRPr="00050DEF">
        <w:rPr>
          <w:rFonts w:ascii="Times New Roman" w:hAnsi="Times New Roman" w:cs="Times New Roman"/>
          <w:sz w:val="24"/>
          <w:szCs w:val="24"/>
          <w:lang w:val="en-GB"/>
        </w:rPr>
        <w:t>,</w:t>
      </w:r>
      <w:r w:rsidR="000D3708" w:rsidRPr="00050DEF">
        <w:rPr>
          <w:rFonts w:ascii="Times New Roman" w:hAnsi="Times New Roman" w:cs="Times New Roman"/>
          <w:sz w:val="24"/>
          <w:szCs w:val="24"/>
          <w:lang w:val="en-GB"/>
        </w:rPr>
        <w:t xml:space="preserve"> pushing one</w:t>
      </w:r>
      <w:r w:rsidR="00FB6E48">
        <w:rPr>
          <w:rFonts w:ascii="Times New Roman" w:hAnsi="Times New Roman" w:cs="Times New Roman"/>
          <w:sz w:val="24"/>
          <w:szCs w:val="24"/>
          <w:lang w:val="en-GB"/>
        </w:rPr>
        <w:t>’s</w:t>
      </w:r>
      <w:r w:rsidR="000D3708" w:rsidRPr="00050DEF">
        <w:rPr>
          <w:rFonts w:ascii="Times New Roman" w:hAnsi="Times New Roman" w:cs="Times New Roman"/>
          <w:sz w:val="24"/>
          <w:szCs w:val="24"/>
          <w:lang w:val="en-GB"/>
        </w:rPr>
        <w:t xml:space="preserve"> own micro-frame </w:t>
      </w:r>
      <w:r w:rsidR="00FB6E48">
        <w:rPr>
          <w:rFonts w:ascii="Times New Roman" w:hAnsi="Times New Roman" w:cs="Times New Roman"/>
          <w:sz w:val="24"/>
          <w:szCs w:val="24"/>
          <w:lang w:val="en-GB"/>
        </w:rPr>
        <w:t xml:space="preserve">may be a bad idea </w:t>
      </w:r>
      <w:r w:rsidR="000D3708" w:rsidRPr="00050DEF">
        <w:rPr>
          <w:rFonts w:ascii="Times New Roman" w:hAnsi="Times New Roman" w:cs="Times New Roman"/>
          <w:sz w:val="24"/>
          <w:szCs w:val="24"/>
          <w:lang w:val="en-GB"/>
        </w:rPr>
        <w:t xml:space="preserve">if it happens to be seen as inappropriate </w:t>
      </w:r>
      <w:r w:rsidR="00FB6E48">
        <w:rPr>
          <w:rFonts w:ascii="Times New Roman" w:hAnsi="Times New Roman" w:cs="Times New Roman"/>
          <w:sz w:val="24"/>
          <w:szCs w:val="24"/>
          <w:lang w:val="en-GB"/>
        </w:rPr>
        <w:t>because of</w:t>
      </w:r>
      <w:r w:rsidR="000D3708" w:rsidRPr="00050DEF">
        <w:rPr>
          <w:rFonts w:ascii="Times New Roman" w:hAnsi="Times New Roman" w:cs="Times New Roman"/>
          <w:sz w:val="24"/>
          <w:szCs w:val="24"/>
          <w:lang w:val="en-GB"/>
        </w:rPr>
        <w:t xml:space="preserve"> the macro-frame</w:t>
      </w:r>
      <w:r w:rsidR="005B0683" w:rsidRPr="00050DEF">
        <w:rPr>
          <w:rFonts w:ascii="Times New Roman" w:hAnsi="Times New Roman" w:cs="Times New Roman"/>
          <w:sz w:val="24"/>
          <w:szCs w:val="24"/>
          <w:lang w:val="en-GB"/>
        </w:rPr>
        <w:t xml:space="preserve"> (</w:t>
      </w:r>
      <w:r w:rsidR="0084698B">
        <w:rPr>
          <w:rFonts w:ascii="Times New Roman" w:hAnsi="Times New Roman" w:cs="Times New Roman"/>
          <w:sz w:val="24"/>
          <w:szCs w:val="24"/>
          <w:lang w:val="en-GB"/>
        </w:rPr>
        <w:t xml:space="preserve">De </w:t>
      </w:r>
      <w:r w:rsidR="005B0683" w:rsidRPr="00050DEF">
        <w:rPr>
          <w:rFonts w:ascii="Times New Roman" w:hAnsi="Times New Roman" w:cs="Times New Roman"/>
          <w:sz w:val="24"/>
          <w:szCs w:val="24"/>
          <w:lang w:val="en-GB"/>
        </w:rPr>
        <w:t>Br</w:t>
      </w:r>
      <w:r w:rsidR="00832576" w:rsidRPr="00050DEF">
        <w:rPr>
          <w:rFonts w:ascii="Times New Roman" w:hAnsi="Times New Roman" w:cs="Times New Roman"/>
          <w:sz w:val="24"/>
          <w:szCs w:val="24"/>
          <w:lang w:val="en-GB"/>
        </w:rPr>
        <w:t>uycker 2019</w:t>
      </w:r>
      <w:r w:rsidR="005B0683" w:rsidRPr="00050DEF">
        <w:rPr>
          <w:rFonts w:ascii="Times New Roman" w:hAnsi="Times New Roman" w:cs="Times New Roman"/>
          <w:sz w:val="24"/>
          <w:szCs w:val="24"/>
          <w:lang w:val="en-GB"/>
        </w:rPr>
        <w:t>: 107</w:t>
      </w:r>
      <w:r w:rsidR="009C7118" w:rsidRPr="00050DEF">
        <w:rPr>
          <w:rFonts w:ascii="Times New Roman" w:hAnsi="Times New Roman" w:cs="Times New Roman"/>
          <w:sz w:val="24"/>
          <w:szCs w:val="24"/>
          <w:lang w:val="en-GB"/>
        </w:rPr>
        <w:t>–</w:t>
      </w:r>
      <w:r w:rsidR="005B0683" w:rsidRPr="00050DEF">
        <w:rPr>
          <w:rFonts w:ascii="Times New Roman" w:hAnsi="Times New Roman" w:cs="Times New Roman"/>
          <w:sz w:val="24"/>
          <w:szCs w:val="24"/>
          <w:lang w:val="en-GB"/>
        </w:rPr>
        <w:t>108)</w:t>
      </w:r>
      <w:r w:rsidR="000D3708" w:rsidRPr="00050DEF">
        <w:rPr>
          <w:rFonts w:ascii="Times New Roman" w:hAnsi="Times New Roman" w:cs="Times New Roman"/>
          <w:sz w:val="24"/>
          <w:szCs w:val="24"/>
          <w:lang w:val="en-GB"/>
        </w:rPr>
        <w:t>. O</w:t>
      </w:r>
      <w:r w:rsidR="0038749D" w:rsidRPr="00050DEF">
        <w:rPr>
          <w:rFonts w:ascii="Times New Roman" w:hAnsi="Times New Roman" w:cs="Times New Roman"/>
          <w:sz w:val="24"/>
          <w:szCs w:val="24"/>
          <w:lang w:val="en-GB"/>
        </w:rPr>
        <w:t>ther times, it may be more feasible</w:t>
      </w:r>
      <w:r w:rsidR="000D3708" w:rsidRPr="00050DEF">
        <w:rPr>
          <w:rFonts w:ascii="Times New Roman" w:hAnsi="Times New Roman" w:cs="Times New Roman"/>
          <w:sz w:val="24"/>
          <w:szCs w:val="24"/>
          <w:lang w:val="en-GB"/>
        </w:rPr>
        <w:t xml:space="preserve"> to </w:t>
      </w:r>
      <w:r w:rsidR="0038749D" w:rsidRPr="00050DEF">
        <w:rPr>
          <w:rFonts w:ascii="Times New Roman" w:hAnsi="Times New Roman" w:cs="Times New Roman"/>
          <w:sz w:val="24"/>
          <w:szCs w:val="24"/>
          <w:lang w:val="en-GB"/>
        </w:rPr>
        <w:t>promote the micro-frame even though it resonates poorly with the macro-frame.</w:t>
      </w:r>
      <w:r w:rsidR="00F3678B" w:rsidRPr="00050DEF">
        <w:rPr>
          <w:rFonts w:ascii="Times New Roman" w:hAnsi="Times New Roman" w:cs="Times New Roman"/>
          <w:sz w:val="24"/>
          <w:szCs w:val="24"/>
          <w:lang w:val="en-GB"/>
        </w:rPr>
        <w:t xml:space="preserve"> This dilemma </w:t>
      </w:r>
      <w:r w:rsidR="005B0683" w:rsidRPr="00050DEF">
        <w:rPr>
          <w:rFonts w:ascii="Times New Roman" w:hAnsi="Times New Roman" w:cs="Times New Roman"/>
          <w:sz w:val="24"/>
          <w:szCs w:val="24"/>
          <w:lang w:val="en-GB"/>
        </w:rPr>
        <w:t>probably often emerge</w:t>
      </w:r>
      <w:r w:rsidR="00AF4ADB" w:rsidRPr="00050DEF">
        <w:rPr>
          <w:rFonts w:ascii="Times New Roman" w:hAnsi="Times New Roman" w:cs="Times New Roman"/>
          <w:sz w:val="24"/>
          <w:szCs w:val="24"/>
          <w:lang w:val="en-GB"/>
        </w:rPr>
        <w:t>s</w:t>
      </w:r>
      <w:r w:rsidR="005B0683" w:rsidRPr="00050DEF">
        <w:rPr>
          <w:rFonts w:ascii="Times New Roman" w:hAnsi="Times New Roman" w:cs="Times New Roman"/>
          <w:sz w:val="24"/>
          <w:szCs w:val="24"/>
          <w:lang w:val="en-GB"/>
        </w:rPr>
        <w:t xml:space="preserve"> for an interest group</w:t>
      </w:r>
      <w:r w:rsidR="004714EF">
        <w:rPr>
          <w:rFonts w:ascii="Times New Roman" w:hAnsi="Times New Roman" w:cs="Times New Roman"/>
          <w:sz w:val="24"/>
          <w:szCs w:val="24"/>
          <w:lang w:val="en-GB"/>
        </w:rPr>
        <w:t>: It has to decide</w:t>
      </w:r>
      <w:r w:rsidR="005B0683" w:rsidRPr="00050DEF">
        <w:rPr>
          <w:rFonts w:ascii="Times New Roman" w:hAnsi="Times New Roman" w:cs="Times New Roman"/>
          <w:sz w:val="24"/>
          <w:szCs w:val="24"/>
          <w:lang w:val="en-GB"/>
        </w:rPr>
        <w:t xml:space="preserve"> </w:t>
      </w:r>
      <w:r w:rsidR="00F3678B" w:rsidRPr="00050DEF">
        <w:rPr>
          <w:rFonts w:ascii="Times New Roman" w:hAnsi="Times New Roman" w:cs="Times New Roman"/>
          <w:sz w:val="24"/>
          <w:szCs w:val="24"/>
          <w:lang w:val="en-GB"/>
        </w:rPr>
        <w:t xml:space="preserve">between promoting </w:t>
      </w:r>
      <w:r w:rsidR="005B0683" w:rsidRPr="00050DEF">
        <w:rPr>
          <w:rFonts w:ascii="Times New Roman" w:hAnsi="Times New Roman" w:cs="Times New Roman"/>
          <w:sz w:val="24"/>
          <w:szCs w:val="24"/>
          <w:lang w:val="en-GB"/>
        </w:rPr>
        <w:t xml:space="preserve">its </w:t>
      </w:r>
      <w:r w:rsidR="00F3678B" w:rsidRPr="00050DEF">
        <w:rPr>
          <w:rFonts w:ascii="Times New Roman" w:hAnsi="Times New Roman" w:cs="Times New Roman"/>
          <w:sz w:val="24"/>
          <w:szCs w:val="24"/>
          <w:lang w:val="en-GB"/>
        </w:rPr>
        <w:t>narrow private</w:t>
      </w:r>
      <w:r w:rsidR="000C4535" w:rsidRPr="00050DEF">
        <w:rPr>
          <w:rFonts w:ascii="Times New Roman" w:hAnsi="Times New Roman" w:cs="Times New Roman"/>
          <w:sz w:val="24"/>
          <w:szCs w:val="24"/>
          <w:lang w:val="en-GB"/>
        </w:rPr>
        <w:t>-regarding</w:t>
      </w:r>
      <w:r w:rsidR="00F3678B" w:rsidRPr="00050DEF">
        <w:rPr>
          <w:rFonts w:ascii="Times New Roman" w:hAnsi="Times New Roman" w:cs="Times New Roman"/>
          <w:sz w:val="24"/>
          <w:szCs w:val="24"/>
          <w:lang w:val="en-GB"/>
        </w:rPr>
        <w:t xml:space="preserve">, or member-based, frame </w:t>
      </w:r>
      <w:r w:rsidR="005B0683" w:rsidRPr="00050DEF">
        <w:rPr>
          <w:rFonts w:ascii="Times New Roman" w:hAnsi="Times New Roman" w:cs="Times New Roman"/>
          <w:sz w:val="24"/>
          <w:szCs w:val="24"/>
          <w:lang w:val="en-GB"/>
        </w:rPr>
        <w:t xml:space="preserve">(to sell more alcohol) </w:t>
      </w:r>
      <w:r w:rsidR="00F3678B" w:rsidRPr="00050DEF">
        <w:rPr>
          <w:rFonts w:ascii="Times New Roman" w:hAnsi="Times New Roman" w:cs="Times New Roman"/>
          <w:sz w:val="24"/>
          <w:szCs w:val="24"/>
          <w:lang w:val="en-GB"/>
        </w:rPr>
        <w:t xml:space="preserve">vs </w:t>
      </w:r>
      <w:r w:rsidR="004714EF">
        <w:rPr>
          <w:rFonts w:ascii="Times New Roman" w:hAnsi="Times New Roman" w:cs="Times New Roman"/>
          <w:sz w:val="24"/>
          <w:szCs w:val="24"/>
          <w:lang w:val="en-GB"/>
        </w:rPr>
        <w:t xml:space="preserve">promoting </w:t>
      </w:r>
      <w:r w:rsidR="00F3678B" w:rsidRPr="00050DEF">
        <w:rPr>
          <w:rFonts w:ascii="Times New Roman" w:hAnsi="Times New Roman" w:cs="Times New Roman"/>
          <w:sz w:val="24"/>
          <w:szCs w:val="24"/>
          <w:lang w:val="en-GB"/>
        </w:rPr>
        <w:t xml:space="preserve">a broader </w:t>
      </w:r>
      <w:r w:rsidR="000C4535" w:rsidRPr="00050DEF">
        <w:rPr>
          <w:rFonts w:ascii="Times New Roman" w:hAnsi="Times New Roman" w:cs="Times New Roman"/>
          <w:sz w:val="24"/>
          <w:szCs w:val="24"/>
          <w:lang w:val="en-GB"/>
        </w:rPr>
        <w:t xml:space="preserve">public-regarding </w:t>
      </w:r>
      <w:r w:rsidR="00F3678B" w:rsidRPr="00050DEF">
        <w:rPr>
          <w:rFonts w:ascii="Times New Roman" w:hAnsi="Times New Roman" w:cs="Times New Roman"/>
          <w:sz w:val="24"/>
          <w:szCs w:val="24"/>
          <w:lang w:val="en-GB"/>
        </w:rPr>
        <w:t xml:space="preserve">frame </w:t>
      </w:r>
      <w:r w:rsidR="005B0683" w:rsidRPr="00050DEF">
        <w:rPr>
          <w:rFonts w:ascii="Times New Roman" w:hAnsi="Times New Roman" w:cs="Times New Roman"/>
          <w:sz w:val="24"/>
          <w:szCs w:val="24"/>
          <w:lang w:val="en-GB"/>
        </w:rPr>
        <w:t xml:space="preserve">(e.g., to protect public health). This </w:t>
      </w:r>
      <w:r w:rsidR="003E5950" w:rsidRPr="00050DEF">
        <w:rPr>
          <w:rFonts w:ascii="Times New Roman" w:hAnsi="Times New Roman" w:cs="Times New Roman"/>
          <w:sz w:val="24"/>
          <w:szCs w:val="24"/>
          <w:lang w:val="en-GB"/>
        </w:rPr>
        <w:t xml:space="preserve">dilemma </w:t>
      </w:r>
      <w:r w:rsidR="00F3678B" w:rsidRPr="00050DEF">
        <w:rPr>
          <w:rFonts w:ascii="Times New Roman" w:hAnsi="Times New Roman" w:cs="Times New Roman"/>
          <w:sz w:val="24"/>
          <w:szCs w:val="24"/>
          <w:lang w:val="en-GB"/>
        </w:rPr>
        <w:t xml:space="preserve">is </w:t>
      </w:r>
      <w:r w:rsidR="003E5950" w:rsidRPr="00050DEF">
        <w:rPr>
          <w:rFonts w:ascii="Times New Roman" w:hAnsi="Times New Roman" w:cs="Times New Roman"/>
          <w:sz w:val="24"/>
          <w:szCs w:val="24"/>
          <w:lang w:val="en-GB"/>
        </w:rPr>
        <w:t xml:space="preserve">well </w:t>
      </w:r>
      <w:r w:rsidR="00F3678B" w:rsidRPr="00050DEF">
        <w:rPr>
          <w:rFonts w:ascii="Times New Roman" w:hAnsi="Times New Roman" w:cs="Times New Roman"/>
          <w:sz w:val="24"/>
          <w:szCs w:val="24"/>
          <w:lang w:val="en-GB"/>
        </w:rPr>
        <w:t xml:space="preserve">known in interest group </w:t>
      </w:r>
      <w:r w:rsidR="00F3678B" w:rsidRPr="00050DEF">
        <w:rPr>
          <w:rFonts w:ascii="Times New Roman" w:hAnsi="Times New Roman" w:cs="Times New Roman"/>
          <w:sz w:val="24"/>
          <w:szCs w:val="24"/>
          <w:lang w:val="en-GB"/>
        </w:rPr>
        <w:lastRenderedPageBreak/>
        <w:t>research</w:t>
      </w:r>
      <w:r w:rsidR="000C4535" w:rsidRPr="00050DEF">
        <w:rPr>
          <w:rFonts w:ascii="Times New Roman" w:hAnsi="Times New Roman" w:cs="Times New Roman"/>
          <w:sz w:val="24"/>
          <w:szCs w:val="24"/>
          <w:lang w:val="en-GB"/>
        </w:rPr>
        <w:t xml:space="preserve"> (Binderkrantz 2019; </w:t>
      </w:r>
      <w:r w:rsidR="00C01D00">
        <w:rPr>
          <w:rFonts w:ascii="Times New Roman" w:hAnsi="Times New Roman" w:cs="Times New Roman"/>
          <w:sz w:val="24"/>
          <w:szCs w:val="24"/>
          <w:lang w:val="en-GB"/>
        </w:rPr>
        <w:t xml:space="preserve">de </w:t>
      </w:r>
      <w:r w:rsidR="00832576" w:rsidRPr="00050DEF">
        <w:rPr>
          <w:rFonts w:ascii="Times New Roman" w:hAnsi="Times New Roman" w:cs="Times New Roman"/>
          <w:sz w:val="24"/>
          <w:szCs w:val="24"/>
          <w:lang w:val="en-GB"/>
        </w:rPr>
        <w:t>Bruyker</w:t>
      </w:r>
      <w:r w:rsidR="008B099A" w:rsidRPr="00050DEF">
        <w:rPr>
          <w:rFonts w:ascii="Times New Roman" w:hAnsi="Times New Roman" w:cs="Times New Roman"/>
          <w:sz w:val="24"/>
          <w:szCs w:val="24"/>
          <w:lang w:val="en-GB"/>
        </w:rPr>
        <w:t xml:space="preserve"> </w:t>
      </w:r>
      <w:r w:rsidR="00832576" w:rsidRPr="00050DEF">
        <w:rPr>
          <w:rFonts w:ascii="Times New Roman" w:hAnsi="Times New Roman" w:cs="Times New Roman"/>
          <w:sz w:val="24"/>
          <w:szCs w:val="24"/>
          <w:lang w:val="en-GB"/>
        </w:rPr>
        <w:t>2019</w:t>
      </w:r>
      <w:r w:rsidR="000C4535" w:rsidRPr="00050DEF">
        <w:rPr>
          <w:rFonts w:ascii="Times New Roman" w:hAnsi="Times New Roman" w:cs="Times New Roman"/>
          <w:sz w:val="24"/>
          <w:szCs w:val="24"/>
          <w:lang w:val="en-GB"/>
        </w:rPr>
        <w:t xml:space="preserve">), and </w:t>
      </w:r>
      <w:r w:rsidR="00446F32" w:rsidRPr="00050DEF">
        <w:rPr>
          <w:rFonts w:ascii="Times New Roman" w:hAnsi="Times New Roman" w:cs="Times New Roman"/>
          <w:sz w:val="24"/>
          <w:szCs w:val="24"/>
          <w:lang w:val="en-GB"/>
        </w:rPr>
        <w:t xml:space="preserve">hence, </w:t>
      </w:r>
      <w:r w:rsidR="000C4535" w:rsidRPr="00050DEF">
        <w:rPr>
          <w:rFonts w:ascii="Times New Roman" w:hAnsi="Times New Roman" w:cs="Times New Roman"/>
          <w:sz w:val="24"/>
          <w:szCs w:val="24"/>
          <w:lang w:val="en-GB"/>
        </w:rPr>
        <w:t xml:space="preserve">we simply embed this central </w:t>
      </w:r>
      <w:r w:rsidR="00567A4A" w:rsidRPr="00050DEF">
        <w:rPr>
          <w:rFonts w:ascii="Times New Roman" w:hAnsi="Times New Roman" w:cs="Times New Roman"/>
          <w:sz w:val="24"/>
          <w:szCs w:val="24"/>
          <w:lang w:val="en-GB"/>
        </w:rPr>
        <w:t xml:space="preserve">dilemma </w:t>
      </w:r>
      <w:r w:rsidR="000C4535" w:rsidRPr="00050DEF">
        <w:rPr>
          <w:rFonts w:ascii="Times New Roman" w:hAnsi="Times New Roman" w:cs="Times New Roman"/>
          <w:sz w:val="24"/>
          <w:szCs w:val="24"/>
          <w:lang w:val="en-GB"/>
        </w:rPr>
        <w:t>in our typology.</w:t>
      </w:r>
    </w:p>
    <w:p w14:paraId="0E4ED054" w14:textId="2A9DBD70" w:rsidR="00E056D6" w:rsidRPr="00050DEF" w:rsidRDefault="00157949"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In combination, the two dimensions create four strategies.</w:t>
      </w:r>
      <w:r w:rsidR="00B77D36" w:rsidRPr="00050DEF">
        <w:rPr>
          <w:rFonts w:ascii="Times New Roman" w:hAnsi="Times New Roman" w:cs="Times New Roman"/>
          <w:sz w:val="24"/>
          <w:szCs w:val="24"/>
          <w:lang w:val="en-GB"/>
        </w:rPr>
        <w:t xml:space="preserve"> </w:t>
      </w:r>
      <w:r w:rsidR="009123F2" w:rsidRPr="00050DEF">
        <w:rPr>
          <w:rFonts w:ascii="Times New Roman" w:hAnsi="Times New Roman" w:cs="Times New Roman"/>
          <w:sz w:val="24"/>
          <w:szCs w:val="24"/>
          <w:lang w:val="en-GB"/>
        </w:rPr>
        <w:t>The first</w:t>
      </w:r>
      <w:r w:rsidR="00261D66" w:rsidRPr="00050DEF">
        <w:rPr>
          <w:rFonts w:ascii="Times New Roman" w:hAnsi="Times New Roman" w:cs="Times New Roman"/>
          <w:sz w:val="24"/>
          <w:szCs w:val="24"/>
          <w:lang w:val="en-GB"/>
        </w:rPr>
        <w:t>,</w:t>
      </w:r>
      <w:r w:rsidR="009123F2" w:rsidRPr="00050DEF">
        <w:rPr>
          <w:rFonts w:ascii="Times New Roman" w:hAnsi="Times New Roman" w:cs="Times New Roman"/>
          <w:sz w:val="24"/>
          <w:szCs w:val="24"/>
          <w:lang w:val="en-GB"/>
        </w:rPr>
        <w:t xml:space="preserve"> and </w:t>
      </w:r>
      <w:r w:rsidR="00261D66" w:rsidRPr="00050DEF">
        <w:rPr>
          <w:rFonts w:ascii="Times New Roman" w:hAnsi="Times New Roman" w:cs="Times New Roman"/>
          <w:sz w:val="24"/>
          <w:szCs w:val="24"/>
          <w:lang w:val="en-GB"/>
        </w:rPr>
        <w:t xml:space="preserve">perhaps </w:t>
      </w:r>
      <w:r w:rsidR="009123F2" w:rsidRPr="00050DEF">
        <w:rPr>
          <w:rFonts w:ascii="Times New Roman" w:hAnsi="Times New Roman" w:cs="Times New Roman"/>
          <w:sz w:val="24"/>
          <w:szCs w:val="24"/>
          <w:lang w:val="en-GB"/>
        </w:rPr>
        <w:t>most basic</w:t>
      </w:r>
      <w:r w:rsidR="00261D66" w:rsidRPr="00050DEF">
        <w:rPr>
          <w:rFonts w:ascii="Times New Roman" w:hAnsi="Times New Roman" w:cs="Times New Roman"/>
          <w:sz w:val="24"/>
          <w:szCs w:val="24"/>
          <w:lang w:val="en-GB"/>
        </w:rPr>
        <w:t>,</w:t>
      </w:r>
      <w:r w:rsidR="009123F2" w:rsidRPr="00050DEF">
        <w:rPr>
          <w:rFonts w:ascii="Times New Roman" w:hAnsi="Times New Roman" w:cs="Times New Roman"/>
          <w:sz w:val="24"/>
          <w:szCs w:val="24"/>
          <w:lang w:val="en-GB"/>
        </w:rPr>
        <w:t xml:space="preserve"> is to simply stop trying to affect the macro-frame altogether. It may be that the dominant macro-frame is so hostile to the interest group</w:t>
      </w:r>
      <w:r w:rsidR="00446F32" w:rsidRPr="00050DEF">
        <w:rPr>
          <w:rFonts w:ascii="Times New Roman" w:hAnsi="Times New Roman" w:cs="Times New Roman"/>
          <w:sz w:val="24"/>
          <w:szCs w:val="24"/>
          <w:lang w:val="en-GB"/>
        </w:rPr>
        <w:t xml:space="preserve"> – because there is a </w:t>
      </w:r>
      <w:r w:rsidR="000C4535" w:rsidRPr="00050DEF">
        <w:rPr>
          <w:rFonts w:ascii="Times New Roman" w:hAnsi="Times New Roman" w:cs="Times New Roman"/>
          <w:sz w:val="24"/>
          <w:szCs w:val="24"/>
          <w:lang w:val="en-GB"/>
        </w:rPr>
        <w:t xml:space="preserve">manifest </w:t>
      </w:r>
      <w:r w:rsidR="00446F32" w:rsidRPr="00050DEF">
        <w:rPr>
          <w:rFonts w:ascii="Times New Roman" w:hAnsi="Times New Roman" w:cs="Times New Roman"/>
          <w:sz w:val="24"/>
          <w:szCs w:val="24"/>
          <w:lang w:val="en-GB"/>
        </w:rPr>
        <w:t xml:space="preserve">clash </w:t>
      </w:r>
      <w:r w:rsidR="000C4535" w:rsidRPr="00050DEF">
        <w:rPr>
          <w:rFonts w:ascii="Times New Roman" w:hAnsi="Times New Roman" w:cs="Times New Roman"/>
          <w:sz w:val="24"/>
          <w:szCs w:val="24"/>
          <w:lang w:val="en-GB"/>
        </w:rPr>
        <w:t xml:space="preserve">between </w:t>
      </w:r>
      <w:r w:rsidR="00446F32" w:rsidRPr="00050DEF">
        <w:rPr>
          <w:rFonts w:ascii="Times New Roman" w:hAnsi="Times New Roman" w:cs="Times New Roman"/>
          <w:sz w:val="24"/>
          <w:szCs w:val="24"/>
          <w:lang w:val="en-GB"/>
        </w:rPr>
        <w:t>its</w:t>
      </w:r>
      <w:r w:rsidR="000C4535" w:rsidRPr="00050DEF">
        <w:rPr>
          <w:rFonts w:ascii="Times New Roman" w:hAnsi="Times New Roman" w:cs="Times New Roman"/>
          <w:sz w:val="24"/>
          <w:szCs w:val="24"/>
          <w:lang w:val="en-GB"/>
        </w:rPr>
        <w:t xml:space="preserve"> narrow member interest and the public interest</w:t>
      </w:r>
      <w:r w:rsidR="00446F32" w:rsidRPr="00050DEF">
        <w:rPr>
          <w:rFonts w:ascii="Times New Roman" w:hAnsi="Times New Roman" w:cs="Times New Roman"/>
          <w:sz w:val="24"/>
          <w:szCs w:val="24"/>
          <w:lang w:val="en-GB"/>
        </w:rPr>
        <w:t xml:space="preserve"> –</w:t>
      </w:r>
      <w:r w:rsidR="009123F2" w:rsidRPr="00050DEF">
        <w:rPr>
          <w:rFonts w:ascii="Times New Roman" w:hAnsi="Times New Roman" w:cs="Times New Roman"/>
          <w:sz w:val="24"/>
          <w:szCs w:val="24"/>
          <w:lang w:val="en-GB"/>
        </w:rPr>
        <w:t xml:space="preserve"> and</w:t>
      </w:r>
      <w:r w:rsidR="00446F32" w:rsidRPr="00050DEF">
        <w:rPr>
          <w:rFonts w:ascii="Times New Roman" w:hAnsi="Times New Roman" w:cs="Times New Roman"/>
          <w:sz w:val="24"/>
          <w:szCs w:val="24"/>
          <w:lang w:val="en-GB"/>
        </w:rPr>
        <w:t xml:space="preserve"> </w:t>
      </w:r>
      <w:r w:rsidR="009123F2" w:rsidRPr="00050DEF">
        <w:rPr>
          <w:rFonts w:ascii="Times New Roman" w:hAnsi="Times New Roman" w:cs="Times New Roman"/>
          <w:sz w:val="24"/>
          <w:szCs w:val="24"/>
          <w:lang w:val="en-GB"/>
        </w:rPr>
        <w:t xml:space="preserve">perhaps also so deeply entrenched or hegemonic that it appears either a waste of time or even counter-productive to remain active. </w:t>
      </w:r>
      <w:r w:rsidR="00FB236B" w:rsidRPr="00050DEF">
        <w:rPr>
          <w:rFonts w:ascii="Times New Roman" w:hAnsi="Times New Roman" w:cs="Times New Roman"/>
          <w:sz w:val="24"/>
          <w:szCs w:val="24"/>
          <w:lang w:val="en-GB"/>
        </w:rPr>
        <w:t xml:space="preserve">The interest group is obviously in a bad position. It is unlikely to be able to persuade anyone with its </w:t>
      </w:r>
      <w:r w:rsidR="000C4535" w:rsidRPr="00050DEF">
        <w:rPr>
          <w:rFonts w:ascii="Times New Roman" w:hAnsi="Times New Roman" w:cs="Times New Roman"/>
          <w:sz w:val="24"/>
          <w:szCs w:val="24"/>
          <w:lang w:val="en-GB"/>
        </w:rPr>
        <w:t xml:space="preserve">narrow, member-based </w:t>
      </w:r>
      <w:r w:rsidR="00FB236B" w:rsidRPr="00050DEF">
        <w:rPr>
          <w:rFonts w:ascii="Times New Roman" w:hAnsi="Times New Roman" w:cs="Times New Roman"/>
          <w:sz w:val="24"/>
          <w:szCs w:val="24"/>
          <w:lang w:val="en-GB"/>
        </w:rPr>
        <w:t xml:space="preserve">micro-frame because it fits so poorly with the </w:t>
      </w:r>
      <w:r w:rsidR="000C4535" w:rsidRPr="00050DEF">
        <w:rPr>
          <w:rFonts w:ascii="Times New Roman" w:hAnsi="Times New Roman" w:cs="Times New Roman"/>
          <w:sz w:val="24"/>
          <w:szCs w:val="24"/>
          <w:lang w:val="en-GB"/>
        </w:rPr>
        <w:t xml:space="preserve">public-regarding </w:t>
      </w:r>
      <w:r w:rsidR="00FB236B" w:rsidRPr="00050DEF">
        <w:rPr>
          <w:rFonts w:ascii="Times New Roman" w:hAnsi="Times New Roman" w:cs="Times New Roman"/>
          <w:sz w:val="24"/>
          <w:szCs w:val="24"/>
          <w:lang w:val="en-GB"/>
        </w:rPr>
        <w:t xml:space="preserve">macro-frame and because the </w:t>
      </w:r>
      <w:r w:rsidR="000C4535" w:rsidRPr="00050DEF">
        <w:rPr>
          <w:rFonts w:ascii="Times New Roman" w:hAnsi="Times New Roman" w:cs="Times New Roman"/>
          <w:sz w:val="24"/>
          <w:szCs w:val="24"/>
          <w:lang w:val="en-GB"/>
        </w:rPr>
        <w:t xml:space="preserve">latter </w:t>
      </w:r>
      <w:r w:rsidR="00FB236B" w:rsidRPr="00050DEF">
        <w:rPr>
          <w:rFonts w:ascii="Times New Roman" w:hAnsi="Times New Roman" w:cs="Times New Roman"/>
          <w:sz w:val="24"/>
          <w:szCs w:val="24"/>
          <w:lang w:val="en-GB"/>
        </w:rPr>
        <w:t xml:space="preserve">is so widely accepted </w:t>
      </w:r>
      <w:r w:rsidR="00446F32" w:rsidRPr="00050DEF">
        <w:rPr>
          <w:rFonts w:ascii="Times New Roman" w:hAnsi="Times New Roman" w:cs="Times New Roman"/>
          <w:sz w:val="24"/>
          <w:szCs w:val="24"/>
          <w:lang w:val="en-GB"/>
        </w:rPr>
        <w:t xml:space="preserve">at this point </w:t>
      </w:r>
      <w:r w:rsidR="00FB236B" w:rsidRPr="00050DEF">
        <w:rPr>
          <w:rFonts w:ascii="Times New Roman" w:hAnsi="Times New Roman" w:cs="Times New Roman"/>
          <w:sz w:val="24"/>
          <w:szCs w:val="24"/>
          <w:lang w:val="en-GB"/>
        </w:rPr>
        <w:t>by most other relevant actors. In this scenario, it makes mo</w:t>
      </w:r>
      <w:r w:rsidR="00BF608C">
        <w:rPr>
          <w:rFonts w:ascii="Times New Roman" w:hAnsi="Times New Roman" w:cs="Times New Roman"/>
          <w:sz w:val="24"/>
          <w:szCs w:val="24"/>
          <w:lang w:val="en-GB"/>
        </w:rPr>
        <w:t>re</w:t>
      </w:r>
      <w:r w:rsidR="00FB236B" w:rsidRPr="00050DEF">
        <w:rPr>
          <w:rFonts w:ascii="Times New Roman" w:hAnsi="Times New Roman" w:cs="Times New Roman"/>
          <w:sz w:val="24"/>
          <w:szCs w:val="24"/>
          <w:lang w:val="en-GB"/>
        </w:rPr>
        <w:t xml:space="preserve"> sense to either exit or accept the macro-frame.</w:t>
      </w:r>
      <w:r w:rsidR="000C4535" w:rsidRPr="00050DEF">
        <w:rPr>
          <w:rFonts w:ascii="Times New Roman" w:hAnsi="Times New Roman" w:cs="Times New Roman"/>
          <w:sz w:val="24"/>
          <w:szCs w:val="24"/>
          <w:lang w:val="en-GB"/>
        </w:rPr>
        <w:t xml:space="preserve"> </w:t>
      </w:r>
      <w:r w:rsidR="009123F2" w:rsidRPr="00050DEF">
        <w:rPr>
          <w:rFonts w:ascii="Times New Roman" w:hAnsi="Times New Roman" w:cs="Times New Roman"/>
          <w:sz w:val="24"/>
          <w:szCs w:val="24"/>
          <w:lang w:val="en-GB"/>
        </w:rPr>
        <w:t xml:space="preserve">This is the </w:t>
      </w:r>
      <w:r w:rsidR="009123F2" w:rsidRPr="00050DEF">
        <w:rPr>
          <w:rFonts w:ascii="Times New Roman" w:hAnsi="Times New Roman" w:cs="Times New Roman"/>
          <w:i/>
          <w:sz w:val="24"/>
          <w:szCs w:val="24"/>
          <w:lang w:val="en-GB"/>
        </w:rPr>
        <w:t>exit</w:t>
      </w:r>
      <w:r w:rsidR="009123F2" w:rsidRPr="00050DEF">
        <w:rPr>
          <w:rFonts w:ascii="Times New Roman" w:hAnsi="Times New Roman" w:cs="Times New Roman"/>
          <w:sz w:val="24"/>
          <w:szCs w:val="24"/>
          <w:lang w:val="en-GB"/>
        </w:rPr>
        <w:t xml:space="preserve"> strategy. </w:t>
      </w:r>
    </w:p>
    <w:p w14:paraId="009ACF81" w14:textId="14FDFD32" w:rsidR="000D3708" w:rsidRPr="00050DEF" w:rsidRDefault="007E4D80"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A</w:t>
      </w:r>
      <w:r w:rsidR="00BA27BE" w:rsidRPr="00050DEF">
        <w:rPr>
          <w:rFonts w:ascii="Times New Roman" w:hAnsi="Times New Roman" w:cs="Times New Roman"/>
          <w:sz w:val="24"/>
          <w:szCs w:val="24"/>
          <w:lang w:val="en-GB"/>
        </w:rPr>
        <w:t xml:space="preserve">n alternative to </w:t>
      </w:r>
      <w:r w:rsidRPr="00050DEF">
        <w:rPr>
          <w:rFonts w:ascii="Times New Roman" w:hAnsi="Times New Roman" w:cs="Times New Roman"/>
          <w:sz w:val="24"/>
          <w:szCs w:val="24"/>
          <w:lang w:val="en-GB"/>
        </w:rPr>
        <w:t xml:space="preserve">exit is </w:t>
      </w:r>
      <w:r w:rsidRPr="00050DEF">
        <w:rPr>
          <w:rFonts w:ascii="Times New Roman" w:hAnsi="Times New Roman" w:cs="Times New Roman"/>
          <w:i/>
          <w:sz w:val="24"/>
          <w:szCs w:val="24"/>
          <w:lang w:val="en-GB"/>
        </w:rPr>
        <w:t>avoidance</w:t>
      </w:r>
      <w:r w:rsidRPr="00050DEF">
        <w:rPr>
          <w:rFonts w:ascii="Times New Roman" w:hAnsi="Times New Roman" w:cs="Times New Roman"/>
          <w:sz w:val="24"/>
          <w:szCs w:val="24"/>
          <w:lang w:val="en-GB"/>
        </w:rPr>
        <w:t xml:space="preserve">. </w:t>
      </w:r>
      <w:r w:rsidR="00156685" w:rsidRPr="00050DEF">
        <w:rPr>
          <w:rFonts w:ascii="Times New Roman" w:hAnsi="Times New Roman" w:cs="Times New Roman"/>
          <w:sz w:val="24"/>
          <w:szCs w:val="24"/>
          <w:lang w:val="en-GB"/>
        </w:rPr>
        <w:t>Here</w:t>
      </w:r>
      <w:r w:rsidR="00ED0D4D">
        <w:rPr>
          <w:rFonts w:ascii="Times New Roman" w:hAnsi="Times New Roman" w:cs="Times New Roman"/>
          <w:sz w:val="24"/>
          <w:szCs w:val="24"/>
          <w:lang w:val="en-GB"/>
        </w:rPr>
        <w:t>,</w:t>
      </w:r>
      <w:r w:rsidR="00156685" w:rsidRPr="00050DEF">
        <w:rPr>
          <w:rFonts w:ascii="Times New Roman" w:hAnsi="Times New Roman" w:cs="Times New Roman"/>
          <w:sz w:val="24"/>
          <w:szCs w:val="24"/>
          <w:lang w:val="en-GB"/>
        </w:rPr>
        <w:t xml:space="preserve"> </w:t>
      </w:r>
      <w:r w:rsidR="00BA27BE" w:rsidRPr="00050DEF">
        <w:rPr>
          <w:rFonts w:ascii="Times New Roman" w:hAnsi="Times New Roman" w:cs="Times New Roman"/>
          <w:sz w:val="24"/>
          <w:szCs w:val="24"/>
          <w:lang w:val="en-GB"/>
        </w:rPr>
        <w:t xml:space="preserve">the interest group ignores the macro-frame while sticking to its own micro-frame. </w:t>
      </w:r>
      <w:r w:rsidR="00261D66" w:rsidRPr="00050DEF">
        <w:rPr>
          <w:rFonts w:ascii="Times New Roman" w:hAnsi="Times New Roman" w:cs="Times New Roman"/>
          <w:sz w:val="24"/>
          <w:szCs w:val="24"/>
          <w:lang w:val="en-GB"/>
        </w:rPr>
        <w:t xml:space="preserve">Both the exit and avoidance strategies </w:t>
      </w:r>
      <w:r w:rsidR="000D3708" w:rsidRPr="00050DEF">
        <w:rPr>
          <w:rFonts w:ascii="Times New Roman" w:hAnsi="Times New Roman" w:cs="Times New Roman"/>
          <w:sz w:val="24"/>
          <w:szCs w:val="24"/>
          <w:lang w:val="en-GB"/>
        </w:rPr>
        <w:t>ignore the macro-fra</w:t>
      </w:r>
      <w:r w:rsidR="002F1650" w:rsidRPr="00050DEF">
        <w:rPr>
          <w:rFonts w:ascii="Times New Roman" w:hAnsi="Times New Roman" w:cs="Times New Roman"/>
          <w:sz w:val="24"/>
          <w:szCs w:val="24"/>
          <w:lang w:val="en-GB"/>
        </w:rPr>
        <w:t xml:space="preserve">me, but the </w:t>
      </w:r>
      <w:r w:rsidR="000D3708" w:rsidRPr="00050DEF">
        <w:rPr>
          <w:rFonts w:ascii="Times New Roman" w:hAnsi="Times New Roman" w:cs="Times New Roman"/>
          <w:sz w:val="24"/>
          <w:szCs w:val="24"/>
          <w:lang w:val="en-GB"/>
        </w:rPr>
        <w:t>latter</w:t>
      </w:r>
      <w:r w:rsidR="002F1650" w:rsidRPr="00050DEF">
        <w:rPr>
          <w:rFonts w:ascii="Times New Roman" w:hAnsi="Times New Roman" w:cs="Times New Roman"/>
          <w:sz w:val="24"/>
          <w:szCs w:val="24"/>
          <w:lang w:val="en-GB"/>
        </w:rPr>
        <w:t xml:space="preserve"> is more </w:t>
      </w:r>
      <w:r w:rsidR="000D3708" w:rsidRPr="00050DEF">
        <w:rPr>
          <w:rFonts w:ascii="Times New Roman" w:hAnsi="Times New Roman" w:cs="Times New Roman"/>
          <w:sz w:val="24"/>
          <w:szCs w:val="24"/>
          <w:lang w:val="en-GB"/>
        </w:rPr>
        <w:t>offensive</w:t>
      </w:r>
      <w:r w:rsidR="002F1650" w:rsidRPr="00050DEF">
        <w:rPr>
          <w:rFonts w:ascii="Times New Roman" w:hAnsi="Times New Roman" w:cs="Times New Roman"/>
          <w:sz w:val="24"/>
          <w:szCs w:val="24"/>
          <w:lang w:val="en-GB"/>
        </w:rPr>
        <w:t xml:space="preserve"> in the sense that it actively promote</w:t>
      </w:r>
      <w:r w:rsidR="001B185D" w:rsidRPr="00050DEF">
        <w:rPr>
          <w:rFonts w:ascii="Times New Roman" w:hAnsi="Times New Roman" w:cs="Times New Roman"/>
          <w:sz w:val="24"/>
          <w:szCs w:val="24"/>
          <w:lang w:val="en-GB"/>
        </w:rPr>
        <w:t>s</w:t>
      </w:r>
      <w:r w:rsidR="002F1650" w:rsidRPr="00050DEF">
        <w:rPr>
          <w:rFonts w:ascii="Times New Roman" w:hAnsi="Times New Roman" w:cs="Times New Roman"/>
          <w:sz w:val="24"/>
          <w:szCs w:val="24"/>
          <w:lang w:val="en-GB"/>
        </w:rPr>
        <w:t xml:space="preserve"> the micro-frame, whereas the former does not</w:t>
      </w:r>
      <w:r w:rsidR="000D3708" w:rsidRPr="00050DEF">
        <w:rPr>
          <w:rFonts w:ascii="Times New Roman" w:hAnsi="Times New Roman" w:cs="Times New Roman"/>
          <w:sz w:val="24"/>
          <w:szCs w:val="24"/>
          <w:lang w:val="en-GB"/>
        </w:rPr>
        <w:t xml:space="preserve">. </w:t>
      </w:r>
      <w:r w:rsidR="00B70E6B" w:rsidRPr="00050DEF">
        <w:rPr>
          <w:rFonts w:ascii="Times New Roman" w:hAnsi="Times New Roman" w:cs="Times New Roman"/>
          <w:sz w:val="24"/>
          <w:szCs w:val="24"/>
          <w:lang w:val="en-GB"/>
        </w:rPr>
        <w:t xml:space="preserve">The third strategy is </w:t>
      </w:r>
      <w:r w:rsidR="00B70E6B" w:rsidRPr="00050DEF">
        <w:rPr>
          <w:rFonts w:ascii="Times New Roman" w:hAnsi="Times New Roman" w:cs="Times New Roman"/>
          <w:i/>
          <w:sz w:val="24"/>
          <w:szCs w:val="24"/>
          <w:lang w:val="en-GB"/>
        </w:rPr>
        <w:t>rejection</w:t>
      </w:r>
      <w:r w:rsidR="00B70E6B" w:rsidRPr="00050DEF">
        <w:rPr>
          <w:rFonts w:ascii="Times New Roman" w:hAnsi="Times New Roman" w:cs="Times New Roman"/>
          <w:sz w:val="24"/>
          <w:szCs w:val="24"/>
          <w:lang w:val="en-GB"/>
        </w:rPr>
        <w:t xml:space="preserve">. This strategy implies that the interest group engages with the macro-frame but does so in a critical way. Typically, this will entail questioning the validity of the macro-frame by advocating the merits of the interest group’s micro-frame. </w:t>
      </w:r>
      <w:r w:rsidR="000D3708" w:rsidRPr="00050DEF">
        <w:rPr>
          <w:rFonts w:ascii="Times New Roman" w:hAnsi="Times New Roman" w:cs="Times New Roman"/>
          <w:sz w:val="24"/>
          <w:szCs w:val="24"/>
          <w:lang w:val="en-GB"/>
        </w:rPr>
        <w:t xml:space="preserve">The </w:t>
      </w:r>
      <w:r w:rsidR="00B70E6B" w:rsidRPr="00050DEF">
        <w:rPr>
          <w:rFonts w:ascii="Times New Roman" w:hAnsi="Times New Roman" w:cs="Times New Roman"/>
          <w:sz w:val="24"/>
          <w:szCs w:val="24"/>
          <w:lang w:val="en-GB"/>
        </w:rPr>
        <w:t>fourth and final</w:t>
      </w:r>
      <w:r w:rsidR="000D3708" w:rsidRPr="00050DEF">
        <w:rPr>
          <w:rFonts w:ascii="Times New Roman" w:hAnsi="Times New Roman" w:cs="Times New Roman"/>
          <w:sz w:val="24"/>
          <w:szCs w:val="24"/>
          <w:lang w:val="en-GB"/>
        </w:rPr>
        <w:t xml:space="preserve"> strategy is </w:t>
      </w:r>
      <w:r w:rsidR="000D3708" w:rsidRPr="00050DEF">
        <w:rPr>
          <w:rFonts w:ascii="Times New Roman" w:hAnsi="Times New Roman" w:cs="Times New Roman"/>
          <w:i/>
          <w:sz w:val="24"/>
          <w:szCs w:val="24"/>
          <w:lang w:val="en-GB"/>
        </w:rPr>
        <w:t>acceptance</w:t>
      </w:r>
      <w:r w:rsidR="000D3708" w:rsidRPr="00050DEF">
        <w:rPr>
          <w:rFonts w:ascii="Times New Roman" w:hAnsi="Times New Roman" w:cs="Times New Roman"/>
          <w:sz w:val="24"/>
          <w:szCs w:val="24"/>
          <w:lang w:val="en-GB"/>
        </w:rPr>
        <w:t>. Here</w:t>
      </w:r>
      <w:r w:rsidR="001B185D" w:rsidRPr="00050DEF">
        <w:rPr>
          <w:rFonts w:ascii="Times New Roman" w:hAnsi="Times New Roman" w:cs="Times New Roman"/>
          <w:sz w:val="24"/>
          <w:szCs w:val="24"/>
          <w:lang w:val="en-GB"/>
        </w:rPr>
        <w:t>,</w:t>
      </w:r>
      <w:r w:rsidR="000D3708" w:rsidRPr="00050DEF">
        <w:rPr>
          <w:rFonts w:ascii="Times New Roman" w:hAnsi="Times New Roman" w:cs="Times New Roman"/>
          <w:sz w:val="24"/>
          <w:szCs w:val="24"/>
          <w:lang w:val="en-GB"/>
        </w:rPr>
        <w:t xml:space="preserve"> </w:t>
      </w:r>
      <w:r w:rsidR="00355E64" w:rsidRPr="00050DEF">
        <w:rPr>
          <w:rFonts w:ascii="Times New Roman" w:hAnsi="Times New Roman" w:cs="Times New Roman"/>
          <w:sz w:val="24"/>
          <w:szCs w:val="24"/>
          <w:lang w:val="en-GB"/>
        </w:rPr>
        <w:t>the interest group engage</w:t>
      </w:r>
      <w:r w:rsidR="001B185D" w:rsidRPr="00050DEF">
        <w:rPr>
          <w:rFonts w:ascii="Times New Roman" w:hAnsi="Times New Roman" w:cs="Times New Roman"/>
          <w:sz w:val="24"/>
          <w:szCs w:val="24"/>
          <w:lang w:val="en-GB"/>
        </w:rPr>
        <w:t>s</w:t>
      </w:r>
      <w:r w:rsidR="00355E64" w:rsidRPr="00050DEF">
        <w:rPr>
          <w:rFonts w:ascii="Times New Roman" w:hAnsi="Times New Roman" w:cs="Times New Roman"/>
          <w:sz w:val="24"/>
          <w:szCs w:val="24"/>
          <w:lang w:val="en-GB"/>
        </w:rPr>
        <w:t xml:space="preserve"> with the macro-frame without mentioning its own preferred micro-frame. In a sense, this is </w:t>
      </w:r>
      <w:r w:rsidR="00E056D6" w:rsidRPr="00050DEF">
        <w:rPr>
          <w:rFonts w:ascii="Times New Roman" w:hAnsi="Times New Roman" w:cs="Times New Roman"/>
          <w:sz w:val="24"/>
          <w:szCs w:val="24"/>
          <w:lang w:val="en-GB"/>
        </w:rPr>
        <w:t xml:space="preserve">a </w:t>
      </w:r>
      <w:r w:rsidR="00355E64" w:rsidRPr="00050DEF">
        <w:rPr>
          <w:rFonts w:ascii="Times New Roman" w:hAnsi="Times New Roman" w:cs="Times New Roman"/>
          <w:sz w:val="24"/>
          <w:szCs w:val="24"/>
          <w:lang w:val="en-GB"/>
        </w:rPr>
        <w:t>situation of full surrender because the interest group</w:t>
      </w:r>
      <w:r w:rsidR="00244FA8" w:rsidRPr="00050DEF">
        <w:rPr>
          <w:rFonts w:ascii="Times New Roman" w:hAnsi="Times New Roman" w:cs="Times New Roman"/>
          <w:sz w:val="24"/>
          <w:szCs w:val="24"/>
          <w:lang w:val="en-GB"/>
        </w:rPr>
        <w:t xml:space="preserve"> entirely buys into the dominant</w:t>
      </w:r>
      <w:r w:rsidR="00355E64" w:rsidRPr="00050DEF">
        <w:rPr>
          <w:rFonts w:ascii="Times New Roman" w:hAnsi="Times New Roman" w:cs="Times New Roman"/>
          <w:sz w:val="24"/>
          <w:szCs w:val="24"/>
          <w:lang w:val="en-GB"/>
        </w:rPr>
        <w:t xml:space="preserve"> frame even though it flies in the face of its own goals.</w:t>
      </w:r>
    </w:p>
    <w:p w14:paraId="4E17490D" w14:textId="77777777" w:rsidR="00443E2B" w:rsidRPr="00050DEF" w:rsidRDefault="00443E2B" w:rsidP="00443E2B">
      <w:pPr>
        <w:spacing w:after="0" w:line="480" w:lineRule="auto"/>
        <w:jc w:val="center"/>
        <w:rPr>
          <w:rFonts w:ascii="Times New Roman" w:hAnsi="Times New Roman" w:cs="Times New Roman"/>
          <w:sz w:val="24"/>
          <w:szCs w:val="24"/>
          <w:lang w:val="en-GB"/>
        </w:rPr>
      </w:pPr>
      <w:r w:rsidRPr="00050DEF">
        <w:rPr>
          <w:rFonts w:ascii="Times New Roman" w:hAnsi="Times New Roman" w:cs="Times New Roman"/>
          <w:sz w:val="24"/>
          <w:szCs w:val="24"/>
          <w:lang w:val="en-GB"/>
        </w:rPr>
        <w:t>[Table 1]</w:t>
      </w:r>
    </w:p>
    <w:p w14:paraId="6E5A529C" w14:textId="7589D4DD" w:rsidR="0011237C" w:rsidRPr="00050DEF" w:rsidRDefault="00244FA8"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Table 1 summari</w:t>
      </w:r>
      <w:r w:rsidR="00ED0D4D">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es the four strategies. It is important to </w:t>
      </w:r>
      <w:r w:rsidR="003C0DF0">
        <w:rPr>
          <w:rFonts w:ascii="Times New Roman" w:hAnsi="Times New Roman" w:cs="Times New Roman"/>
          <w:sz w:val="24"/>
          <w:szCs w:val="24"/>
          <w:lang w:val="en-GB"/>
        </w:rPr>
        <w:t>note</w:t>
      </w:r>
      <w:r w:rsidRPr="00050DEF">
        <w:rPr>
          <w:rFonts w:ascii="Times New Roman" w:hAnsi="Times New Roman" w:cs="Times New Roman"/>
          <w:sz w:val="24"/>
          <w:szCs w:val="24"/>
          <w:lang w:val="en-GB"/>
        </w:rPr>
        <w:t xml:space="preserve"> that although the table </w:t>
      </w:r>
      <w:r w:rsidR="003C0DF0">
        <w:rPr>
          <w:rFonts w:ascii="Times New Roman" w:hAnsi="Times New Roman" w:cs="Times New Roman"/>
          <w:sz w:val="24"/>
          <w:szCs w:val="24"/>
          <w:lang w:val="en-GB"/>
        </w:rPr>
        <w:t>shows</w:t>
      </w:r>
      <w:r w:rsidRPr="00050DEF">
        <w:rPr>
          <w:rFonts w:ascii="Times New Roman" w:hAnsi="Times New Roman" w:cs="Times New Roman"/>
          <w:sz w:val="24"/>
          <w:szCs w:val="24"/>
          <w:lang w:val="en-GB"/>
        </w:rPr>
        <w:t xml:space="preserve"> categorical d</w:t>
      </w:r>
      <w:r w:rsidR="00DF00B4" w:rsidRPr="00050DEF">
        <w:rPr>
          <w:rFonts w:ascii="Times New Roman" w:hAnsi="Times New Roman" w:cs="Times New Roman"/>
          <w:sz w:val="24"/>
          <w:szCs w:val="24"/>
          <w:lang w:val="en-GB"/>
        </w:rPr>
        <w:t>istinctions, in reality</w:t>
      </w:r>
      <w:r w:rsidR="003C0DF0">
        <w:rPr>
          <w:rFonts w:ascii="Times New Roman" w:hAnsi="Times New Roman" w:cs="Times New Roman"/>
          <w:sz w:val="24"/>
          <w:szCs w:val="24"/>
          <w:lang w:val="en-GB"/>
        </w:rPr>
        <w:t>,</w:t>
      </w:r>
      <w:r w:rsidR="00DF00B4" w:rsidRPr="00050DEF">
        <w:rPr>
          <w:rFonts w:ascii="Times New Roman" w:hAnsi="Times New Roman" w:cs="Times New Roman"/>
          <w:sz w:val="24"/>
          <w:szCs w:val="24"/>
          <w:lang w:val="en-GB"/>
        </w:rPr>
        <w:t xml:space="preserve"> we should think </w:t>
      </w:r>
      <w:r w:rsidR="009473C7" w:rsidRPr="00050DEF">
        <w:rPr>
          <w:rFonts w:ascii="Times New Roman" w:hAnsi="Times New Roman" w:cs="Times New Roman"/>
          <w:sz w:val="24"/>
          <w:szCs w:val="24"/>
          <w:lang w:val="en-GB"/>
        </w:rPr>
        <w:t xml:space="preserve">more in terms </w:t>
      </w:r>
      <w:r w:rsidR="00DF00B4" w:rsidRPr="00050DEF">
        <w:rPr>
          <w:rFonts w:ascii="Times New Roman" w:hAnsi="Times New Roman" w:cs="Times New Roman"/>
          <w:sz w:val="24"/>
          <w:szCs w:val="24"/>
          <w:lang w:val="en-GB"/>
        </w:rPr>
        <w:t xml:space="preserve">of differences in degree. Few interest groups will </w:t>
      </w:r>
      <w:r w:rsidR="00DF00B4" w:rsidRPr="00050DEF">
        <w:rPr>
          <w:rFonts w:ascii="Times New Roman" w:hAnsi="Times New Roman" w:cs="Times New Roman"/>
          <w:sz w:val="24"/>
          <w:szCs w:val="24"/>
          <w:lang w:val="en-GB"/>
        </w:rPr>
        <w:lastRenderedPageBreak/>
        <w:t>probably only engage with the misaligned macro-frame or, alternatively, completely ignore it. Similarly, when it comes to the promotion of the micro-frame</w:t>
      </w:r>
      <w:r w:rsidR="003C0DF0">
        <w:rPr>
          <w:rFonts w:ascii="Times New Roman" w:hAnsi="Times New Roman" w:cs="Times New Roman"/>
          <w:sz w:val="24"/>
          <w:szCs w:val="24"/>
          <w:lang w:val="en-GB"/>
        </w:rPr>
        <w:t>,</w:t>
      </w:r>
      <w:r w:rsidR="00DF00B4" w:rsidRPr="00050DEF">
        <w:rPr>
          <w:rFonts w:ascii="Times New Roman" w:hAnsi="Times New Roman" w:cs="Times New Roman"/>
          <w:sz w:val="24"/>
          <w:szCs w:val="24"/>
          <w:lang w:val="en-GB"/>
        </w:rPr>
        <w:t xml:space="preserve"> </w:t>
      </w:r>
      <w:r w:rsidR="003C0DF0">
        <w:rPr>
          <w:rFonts w:ascii="Times New Roman" w:hAnsi="Times New Roman" w:cs="Times New Roman"/>
          <w:sz w:val="24"/>
          <w:szCs w:val="24"/>
          <w:lang w:val="en-GB"/>
        </w:rPr>
        <w:t>f</w:t>
      </w:r>
      <w:r w:rsidR="00DF00B4" w:rsidRPr="00050DEF">
        <w:rPr>
          <w:rFonts w:ascii="Times New Roman" w:hAnsi="Times New Roman" w:cs="Times New Roman"/>
          <w:sz w:val="24"/>
          <w:szCs w:val="24"/>
          <w:lang w:val="en-GB"/>
        </w:rPr>
        <w:t>ew interest groups are likely to entirely neglect their own micro-frame or, alternatively, only talk about that specific frame. Still, we believe the typology is helpful</w:t>
      </w:r>
      <w:r w:rsidR="00F21000" w:rsidRPr="00050DEF">
        <w:rPr>
          <w:rFonts w:ascii="Times New Roman" w:hAnsi="Times New Roman" w:cs="Times New Roman"/>
          <w:sz w:val="24"/>
          <w:szCs w:val="24"/>
          <w:lang w:val="en-GB"/>
        </w:rPr>
        <w:t xml:space="preserve"> because it </w:t>
      </w:r>
      <w:r w:rsidR="00FF76FF" w:rsidRPr="00050DEF">
        <w:rPr>
          <w:rFonts w:ascii="Times New Roman" w:hAnsi="Times New Roman" w:cs="Times New Roman"/>
          <w:sz w:val="24"/>
          <w:szCs w:val="24"/>
          <w:lang w:val="en-GB"/>
        </w:rPr>
        <w:t>allows us to more systematically</w:t>
      </w:r>
      <w:r w:rsidR="00F21000" w:rsidRPr="00050DEF">
        <w:rPr>
          <w:rFonts w:ascii="Times New Roman" w:hAnsi="Times New Roman" w:cs="Times New Roman"/>
          <w:sz w:val="24"/>
          <w:szCs w:val="24"/>
          <w:lang w:val="en-GB"/>
        </w:rPr>
        <w:t xml:space="preserve"> explor</w:t>
      </w:r>
      <w:r w:rsidR="00FF76FF" w:rsidRPr="00050DEF">
        <w:rPr>
          <w:rFonts w:ascii="Times New Roman" w:hAnsi="Times New Roman" w:cs="Times New Roman"/>
          <w:sz w:val="24"/>
          <w:szCs w:val="24"/>
          <w:lang w:val="en-GB"/>
        </w:rPr>
        <w:t>e</w:t>
      </w:r>
      <w:r w:rsidR="00F21000" w:rsidRPr="00050DEF">
        <w:rPr>
          <w:rFonts w:ascii="Times New Roman" w:hAnsi="Times New Roman" w:cs="Times New Roman"/>
          <w:sz w:val="24"/>
          <w:szCs w:val="24"/>
          <w:lang w:val="en-GB"/>
        </w:rPr>
        <w:t xml:space="preserve"> the potential ways in which interest groups can respond to a misaligned macro-frame.</w:t>
      </w:r>
      <w:r w:rsidR="00FF76FF" w:rsidRPr="00050DEF">
        <w:rPr>
          <w:rFonts w:ascii="Times New Roman" w:hAnsi="Times New Roman" w:cs="Times New Roman"/>
          <w:sz w:val="24"/>
          <w:szCs w:val="24"/>
          <w:lang w:val="en-GB"/>
        </w:rPr>
        <w:t xml:space="preserve"> </w:t>
      </w:r>
    </w:p>
    <w:p w14:paraId="1A201CA4" w14:textId="7C0A014C" w:rsidR="00FF76FF" w:rsidRPr="00050DEF" w:rsidRDefault="00FF76F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Because the different strategies </w:t>
      </w:r>
      <w:r w:rsidR="003C0DF0">
        <w:rPr>
          <w:rFonts w:ascii="Times New Roman" w:hAnsi="Times New Roman" w:cs="Times New Roman"/>
          <w:sz w:val="24"/>
          <w:szCs w:val="24"/>
          <w:lang w:val="en-GB"/>
        </w:rPr>
        <w:t xml:space="preserve">will </w:t>
      </w:r>
      <w:r w:rsidRPr="00050DEF">
        <w:rPr>
          <w:rFonts w:ascii="Times New Roman" w:hAnsi="Times New Roman" w:cs="Times New Roman"/>
          <w:sz w:val="24"/>
          <w:szCs w:val="24"/>
          <w:lang w:val="en-GB"/>
        </w:rPr>
        <w:t>in real</w:t>
      </w:r>
      <w:r w:rsidR="003C0DF0">
        <w:rPr>
          <w:rFonts w:ascii="Times New Roman" w:hAnsi="Times New Roman" w:cs="Times New Roman"/>
          <w:sz w:val="24"/>
          <w:szCs w:val="24"/>
          <w:lang w:val="en-GB"/>
        </w:rPr>
        <w:t xml:space="preserve"> </w:t>
      </w:r>
      <w:r w:rsidR="00A019AE" w:rsidRPr="00050DEF">
        <w:rPr>
          <w:rFonts w:ascii="Times New Roman" w:hAnsi="Times New Roman" w:cs="Times New Roman"/>
          <w:sz w:val="24"/>
          <w:szCs w:val="24"/>
          <w:lang w:val="en-GB"/>
        </w:rPr>
        <w:t xml:space="preserve">life presumably manifest themselves as differences of degree rather than differences of kind, several strategies </w:t>
      </w:r>
      <w:r w:rsidR="0087683F" w:rsidRPr="00050DEF">
        <w:rPr>
          <w:rFonts w:ascii="Times New Roman" w:hAnsi="Times New Roman" w:cs="Times New Roman"/>
          <w:sz w:val="24"/>
          <w:szCs w:val="24"/>
          <w:lang w:val="en-GB"/>
        </w:rPr>
        <w:t>can</w:t>
      </w:r>
      <w:r w:rsidR="00A019AE" w:rsidRPr="00050DEF">
        <w:rPr>
          <w:rFonts w:ascii="Times New Roman" w:hAnsi="Times New Roman" w:cs="Times New Roman"/>
          <w:sz w:val="24"/>
          <w:szCs w:val="24"/>
          <w:lang w:val="en-GB"/>
        </w:rPr>
        <w:t xml:space="preserve"> be employed at the same time. An interest group may, for instance, simultaneously reduce its engagement with </w:t>
      </w:r>
      <w:r w:rsidR="000A76BA" w:rsidRPr="00050DEF">
        <w:rPr>
          <w:rFonts w:ascii="Times New Roman" w:hAnsi="Times New Roman" w:cs="Times New Roman"/>
          <w:sz w:val="24"/>
          <w:szCs w:val="24"/>
          <w:lang w:val="en-GB"/>
        </w:rPr>
        <w:t xml:space="preserve">the macro-frame </w:t>
      </w:r>
      <w:r w:rsidR="00A019AE" w:rsidRPr="00050DEF">
        <w:rPr>
          <w:rFonts w:ascii="Times New Roman" w:hAnsi="Times New Roman" w:cs="Times New Roman"/>
          <w:sz w:val="24"/>
          <w:szCs w:val="24"/>
          <w:lang w:val="en-GB"/>
        </w:rPr>
        <w:t>and accept</w:t>
      </w:r>
      <w:r w:rsidR="000A76BA">
        <w:rPr>
          <w:rFonts w:ascii="Times New Roman" w:hAnsi="Times New Roman" w:cs="Times New Roman"/>
          <w:sz w:val="24"/>
          <w:szCs w:val="24"/>
          <w:lang w:val="en-GB"/>
        </w:rPr>
        <w:t xml:space="preserve"> it</w:t>
      </w:r>
      <w:r w:rsidR="00A019AE" w:rsidRPr="00050DEF">
        <w:rPr>
          <w:rFonts w:ascii="Times New Roman" w:hAnsi="Times New Roman" w:cs="Times New Roman"/>
          <w:sz w:val="24"/>
          <w:szCs w:val="24"/>
          <w:lang w:val="en-GB"/>
        </w:rPr>
        <w:t xml:space="preserve">. In this </w:t>
      </w:r>
      <w:r w:rsidR="007C270F" w:rsidRPr="00050DEF">
        <w:rPr>
          <w:rFonts w:ascii="Times New Roman" w:hAnsi="Times New Roman" w:cs="Times New Roman"/>
          <w:sz w:val="24"/>
          <w:szCs w:val="24"/>
          <w:lang w:val="en-GB"/>
        </w:rPr>
        <w:t>scenario, the interest group tries</w:t>
      </w:r>
      <w:r w:rsidR="00A019AE" w:rsidRPr="00050DEF">
        <w:rPr>
          <w:rFonts w:ascii="Times New Roman" w:hAnsi="Times New Roman" w:cs="Times New Roman"/>
          <w:sz w:val="24"/>
          <w:szCs w:val="24"/>
          <w:lang w:val="en-GB"/>
        </w:rPr>
        <w:t xml:space="preserve"> to stay under the radar by agreeing with the macro-frame but otherwise stay</w:t>
      </w:r>
      <w:r w:rsidR="001E000E">
        <w:rPr>
          <w:rFonts w:ascii="Times New Roman" w:hAnsi="Times New Roman" w:cs="Times New Roman"/>
          <w:sz w:val="24"/>
          <w:szCs w:val="24"/>
          <w:lang w:val="en-GB"/>
        </w:rPr>
        <w:t>ing</w:t>
      </w:r>
      <w:r w:rsidR="00A019AE" w:rsidRPr="00050DEF">
        <w:rPr>
          <w:rFonts w:ascii="Times New Roman" w:hAnsi="Times New Roman" w:cs="Times New Roman"/>
          <w:sz w:val="24"/>
          <w:szCs w:val="24"/>
          <w:lang w:val="en-GB"/>
        </w:rPr>
        <w:t xml:space="preserve"> quiet. </w:t>
      </w:r>
      <w:r w:rsidR="00E57B13" w:rsidRPr="00050DEF">
        <w:rPr>
          <w:rFonts w:ascii="Times New Roman" w:hAnsi="Times New Roman" w:cs="Times New Roman"/>
          <w:sz w:val="24"/>
          <w:szCs w:val="24"/>
          <w:lang w:val="en-GB"/>
        </w:rPr>
        <w:t xml:space="preserve">In another scenario, the interest group can combine a reduced engagement with rejection, producing a slightly more assertive strategy. </w:t>
      </w:r>
      <w:r w:rsidR="00F52AD5" w:rsidRPr="00050DEF">
        <w:rPr>
          <w:rFonts w:ascii="Times New Roman" w:hAnsi="Times New Roman" w:cs="Times New Roman"/>
          <w:sz w:val="24"/>
          <w:szCs w:val="24"/>
          <w:lang w:val="en-GB"/>
        </w:rPr>
        <w:t>Yet</w:t>
      </w:r>
      <w:r w:rsidR="009F6488" w:rsidRPr="00050DEF">
        <w:rPr>
          <w:rFonts w:ascii="Times New Roman" w:hAnsi="Times New Roman" w:cs="Times New Roman"/>
          <w:sz w:val="24"/>
          <w:szCs w:val="24"/>
          <w:lang w:val="en-GB"/>
        </w:rPr>
        <w:t>,</w:t>
      </w:r>
      <w:r w:rsidR="00F52AD5" w:rsidRPr="00050DEF">
        <w:rPr>
          <w:rFonts w:ascii="Times New Roman" w:hAnsi="Times New Roman" w:cs="Times New Roman"/>
          <w:sz w:val="24"/>
          <w:szCs w:val="24"/>
          <w:lang w:val="en-GB"/>
        </w:rPr>
        <w:t xml:space="preserve"> interest groups may not only employ multiple strategies at the same time but also over time. </w:t>
      </w:r>
      <w:r w:rsidR="00A7094E" w:rsidRPr="00050DEF">
        <w:rPr>
          <w:rFonts w:ascii="Times New Roman" w:hAnsi="Times New Roman" w:cs="Times New Roman"/>
          <w:sz w:val="24"/>
          <w:szCs w:val="24"/>
          <w:lang w:val="en-GB"/>
        </w:rPr>
        <w:t>One strategy may be more appropriate right after the change in macro-frame, while another strategy is better later on.</w:t>
      </w:r>
    </w:p>
    <w:p w14:paraId="5CF77DB1" w14:textId="273C1CB0" w:rsidR="009F6488" w:rsidRPr="00050DEF" w:rsidRDefault="0087683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typology </w:t>
      </w:r>
      <w:r w:rsidR="002E4272" w:rsidRPr="00050DEF">
        <w:rPr>
          <w:rFonts w:ascii="Times New Roman" w:hAnsi="Times New Roman" w:cs="Times New Roman"/>
          <w:sz w:val="24"/>
          <w:szCs w:val="24"/>
          <w:lang w:val="en-GB"/>
        </w:rPr>
        <w:t xml:space="preserve">does not </w:t>
      </w:r>
      <w:r w:rsidR="002E4272" w:rsidRPr="00050DEF">
        <w:rPr>
          <w:rFonts w:ascii="Times New Roman" w:hAnsi="Times New Roman" w:cs="Times New Roman"/>
          <w:i/>
          <w:sz w:val="24"/>
          <w:szCs w:val="24"/>
          <w:lang w:val="en-GB"/>
        </w:rPr>
        <w:t xml:space="preserve">per se </w:t>
      </w:r>
      <w:r w:rsidR="002E4272" w:rsidRPr="00050DEF">
        <w:rPr>
          <w:rFonts w:ascii="Times New Roman" w:hAnsi="Times New Roman" w:cs="Times New Roman"/>
          <w:sz w:val="24"/>
          <w:szCs w:val="24"/>
          <w:lang w:val="en-GB"/>
        </w:rPr>
        <w:t>inform</w:t>
      </w:r>
      <w:r w:rsidR="002E4272" w:rsidRPr="00050DEF">
        <w:rPr>
          <w:rFonts w:ascii="Times New Roman" w:hAnsi="Times New Roman" w:cs="Times New Roman"/>
          <w:i/>
          <w:sz w:val="24"/>
          <w:szCs w:val="24"/>
          <w:lang w:val="en-GB"/>
        </w:rPr>
        <w:t xml:space="preserve"> </w:t>
      </w:r>
      <w:r w:rsidRPr="00050DEF">
        <w:rPr>
          <w:rFonts w:ascii="Times New Roman" w:hAnsi="Times New Roman" w:cs="Times New Roman"/>
          <w:sz w:val="24"/>
          <w:szCs w:val="24"/>
          <w:lang w:val="en-GB"/>
        </w:rPr>
        <w:t xml:space="preserve">us about when any particular strategy is more likely to be chosen over another. </w:t>
      </w:r>
      <w:r w:rsidR="00D20D03" w:rsidRPr="00050DEF">
        <w:rPr>
          <w:rFonts w:ascii="Times New Roman" w:hAnsi="Times New Roman" w:cs="Times New Roman"/>
          <w:sz w:val="24"/>
          <w:szCs w:val="24"/>
          <w:lang w:val="en-GB"/>
        </w:rPr>
        <w:t>Because the context of interest groups var</w:t>
      </w:r>
      <w:r w:rsidR="00FC416E">
        <w:rPr>
          <w:rFonts w:ascii="Times New Roman" w:hAnsi="Times New Roman" w:cs="Times New Roman"/>
          <w:sz w:val="24"/>
          <w:szCs w:val="24"/>
          <w:lang w:val="en-GB"/>
        </w:rPr>
        <w:t>ies</w:t>
      </w:r>
      <w:r w:rsidR="00D20D03" w:rsidRPr="00050DEF">
        <w:rPr>
          <w:rFonts w:ascii="Times New Roman" w:hAnsi="Times New Roman" w:cs="Times New Roman"/>
          <w:sz w:val="24"/>
          <w:szCs w:val="24"/>
          <w:lang w:val="en-GB"/>
        </w:rPr>
        <w:t xml:space="preserve"> so much, it is probably not possible to deduce a firm theory about strategy selection. However, it is still possible </w:t>
      </w:r>
      <w:r w:rsidR="008F1805" w:rsidRPr="00050DEF">
        <w:rPr>
          <w:rFonts w:ascii="Times New Roman" w:hAnsi="Times New Roman" w:cs="Times New Roman"/>
          <w:sz w:val="24"/>
          <w:szCs w:val="24"/>
          <w:lang w:val="en-GB"/>
        </w:rPr>
        <w:t xml:space="preserve">to </w:t>
      </w:r>
      <w:r w:rsidR="009F6488" w:rsidRPr="00050DEF">
        <w:rPr>
          <w:rFonts w:ascii="Times New Roman" w:hAnsi="Times New Roman" w:cs="Times New Roman"/>
          <w:sz w:val="24"/>
          <w:szCs w:val="24"/>
          <w:lang w:val="en-GB"/>
        </w:rPr>
        <w:t xml:space="preserve">put up some tentative expectations. </w:t>
      </w:r>
    </w:p>
    <w:p w14:paraId="1D9DDF65" w14:textId="48254CE6" w:rsidR="009F6488" w:rsidRPr="00050DEF" w:rsidRDefault="009F6488"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For this exercise, a natural starting point is to consider the basic interests of an interest group. </w:t>
      </w:r>
      <w:r w:rsidR="00AA60B9" w:rsidRPr="00050DEF">
        <w:rPr>
          <w:rFonts w:ascii="Times New Roman" w:hAnsi="Times New Roman" w:cs="Times New Roman"/>
          <w:sz w:val="24"/>
          <w:szCs w:val="24"/>
          <w:lang w:val="en-GB"/>
        </w:rPr>
        <w:t xml:space="preserve">In his </w:t>
      </w:r>
      <w:r w:rsidRPr="00050DEF">
        <w:rPr>
          <w:rFonts w:ascii="Times New Roman" w:hAnsi="Times New Roman" w:cs="Times New Roman"/>
          <w:sz w:val="24"/>
          <w:szCs w:val="24"/>
          <w:lang w:val="en-GB"/>
        </w:rPr>
        <w:t xml:space="preserve">much-used interest typology, </w:t>
      </w:r>
      <w:r w:rsidR="00AA60B9" w:rsidRPr="00050DEF">
        <w:rPr>
          <w:rFonts w:ascii="Times New Roman" w:hAnsi="Times New Roman" w:cs="Times New Roman"/>
          <w:sz w:val="24"/>
          <w:szCs w:val="24"/>
          <w:lang w:val="en-GB"/>
        </w:rPr>
        <w:t>Berkhout</w:t>
      </w:r>
      <w:r w:rsidR="00FB236B" w:rsidRPr="00050DEF">
        <w:rPr>
          <w:rFonts w:ascii="Times New Roman" w:hAnsi="Times New Roman" w:cs="Times New Roman"/>
          <w:sz w:val="24"/>
          <w:szCs w:val="24"/>
          <w:lang w:val="en-GB"/>
        </w:rPr>
        <w:t xml:space="preserve"> </w:t>
      </w:r>
      <w:r w:rsidR="00FB236B" w:rsidRPr="00050DEF">
        <w:rPr>
          <w:rFonts w:ascii="Times New Roman" w:hAnsi="Times New Roman" w:cs="Times New Roman"/>
          <w:sz w:val="24"/>
          <w:lang w:val="en-GB"/>
        </w:rPr>
        <w:t>(2013)</w:t>
      </w:r>
      <w:r w:rsidR="00AA60B9" w:rsidRPr="00050DEF">
        <w:rPr>
          <w:rFonts w:ascii="Times New Roman" w:hAnsi="Times New Roman" w:cs="Times New Roman"/>
          <w:sz w:val="24"/>
          <w:szCs w:val="24"/>
          <w:lang w:val="en-GB"/>
        </w:rPr>
        <w:t xml:space="preserve"> delineate</w:t>
      </w:r>
      <w:r w:rsidR="004C1F44" w:rsidRPr="00050DEF">
        <w:rPr>
          <w:rFonts w:ascii="Times New Roman" w:hAnsi="Times New Roman" w:cs="Times New Roman"/>
          <w:sz w:val="24"/>
          <w:szCs w:val="24"/>
          <w:lang w:val="en-GB"/>
        </w:rPr>
        <w:t>s</w:t>
      </w:r>
      <w:r w:rsidR="00AA60B9" w:rsidRPr="00050DEF">
        <w:rPr>
          <w:rFonts w:ascii="Times New Roman" w:hAnsi="Times New Roman" w:cs="Times New Roman"/>
          <w:sz w:val="24"/>
          <w:szCs w:val="24"/>
          <w:lang w:val="en-GB"/>
        </w:rPr>
        <w:t xml:space="preserve"> three types of interests: </w:t>
      </w:r>
      <w:r w:rsidR="004C1F44" w:rsidRPr="00050DEF">
        <w:rPr>
          <w:rFonts w:ascii="Times New Roman" w:hAnsi="Times New Roman" w:cs="Times New Roman"/>
          <w:sz w:val="24"/>
          <w:szCs w:val="24"/>
          <w:lang w:val="en-GB"/>
        </w:rPr>
        <w:t>(1) an interest group’s</w:t>
      </w:r>
      <w:r w:rsidR="00AA60B9" w:rsidRPr="00050DEF">
        <w:rPr>
          <w:rFonts w:ascii="Times New Roman" w:hAnsi="Times New Roman" w:cs="Times New Roman"/>
          <w:sz w:val="24"/>
          <w:szCs w:val="24"/>
          <w:lang w:val="en-GB"/>
        </w:rPr>
        <w:t xml:space="preserve"> need to cater </w:t>
      </w:r>
      <w:r w:rsidR="004A14E1" w:rsidRPr="00050DEF">
        <w:rPr>
          <w:rFonts w:ascii="Times New Roman" w:hAnsi="Times New Roman" w:cs="Times New Roman"/>
          <w:sz w:val="24"/>
          <w:szCs w:val="24"/>
          <w:lang w:val="en-GB"/>
        </w:rPr>
        <w:t xml:space="preserve">to </w:t>
      </w:r>
      <w:r w:rsidR="004C1F44" w:rsidRPr="00050DEF">
        <w:rPr>
          <w:rFonts w:ascii="Times New Roman" w:hAnsi="Times New Roman" w:cs="Times New Roman"/>
          <w:sz w:val="24"/>
          <w:szCs w:val="24"/>
          <w:lang w:val="en-GB"/>
        </w:rPr>
        <w:t>its</w:t>
      </w:r>
      <w:r w:rsidR="00AA60B9" w:rsidRPr="00050DEF">
        <w:rPr>
          <w:rFonts w:ascii="Times New Roman" w:hAnsi="Times New Roman" w:cs="Times New Roman"/>
          <w:sz w:val="24"/>
          <w:szCs w:val="24"/>
          <w:lang w:val="en-GB"/>
        </w:rPr>
        <w:t xml:space="preserve"> members, </w:t>
      </w:r>
      <w:r w:rsidR="004C1F44" w:rsidRPr="00050DEF">
        <w:rPr>
          <w:rFonts w:ascii="Times New Roman" w:hAnsi="Times New Roman" w:cs="Times New Roman"/>
          <w:sz w:val="24"/>
          <w:szCs w:val="24"/>
          <w:lang w:val="en-GB"/>
        </w:rPr>
        <w:t xml:space="preserve">(2) its </w:t>
      </w:r>
      <w:r w:rsidR="00AA60B9" w:rsidRPr="00050DEF">
        <w:rPr>
          <w:rFonts w:ascii="Times New Roman" w:hAnsi="Times New Roman" w:cs="Times New Roman"/>
          <w:sz w:val="24"/>
          <w:szCs w:val="24"/>
          <w:lang w:val="en-GB"/>
        </w:rPr>
        <w:t xml:space="preserve">need to influence policy, and </w:t>
      </w:r>
      <w:r w:rsidR="004C1F44" w:rsidRPr="00050DEF">
        <w:rPr>
          <w:rFonts w:ascii="Times New Roman" w:hAnsi="Times New Roman" w:cs="Times New Roman"/>
          <w:sz w:val="24"/>
          <w:szCs w:val="24"/>
          <w:lang w:val="en-GB"/>
        </w:rPr>
        <w:t>(3) its</w:t>
      </w:r>
      <w:r w:rsidR="00AA60B9" w:rsidRPr="00050DEF">
        <w:rPr>
          <w:rFonts w:ascii="Times New Roman" w:hAnsi="Times New Roman" w:cs="Times New Roman"/>
          <w:sz w:val="24"/>
          <w:szCs w:val="24"/>
          <w:lang w:val="en-GB"/>
        </w:rPr>
        <w:t xml:space="preserve"> need to maintain a public image</w:t>
      </w:r>
      <w:r w:rsidR="00E70F0E" w:rsidRPr="00050DEF">
        <w:rPr>
          <w:rFonts w:ascii="Times New Roman" w:hAnsi="Times New Roman" w:cs="Times New Roman"/>
          <w:sz w:val="24"/>
          <w:szCs w:val="24"/>
          <w:lang w:val="en-GB"/>
        </w:rPr>
        <w:t xml:space="preserve"> (see also Klüver et al. 2015: 484</w:t>
      </w:r>
      <w:r w:rsidR="009C7118" w:rsidRPr="00050DEF">
        <w:rPr>
          <w:rFonts w:ascii="Times New Roman" w:hAnsi="Times New Roman" w:cs="Times New Roman"/>
          <w:sz w:val="24"/>
          <w:szCs w:val="24"/>
          <w:lang w:val="en-GB"/>
        </w:rPr>
        <w:t>–</w:t>
      </w:r>
      <w:r w:rsidR="00E70F0E" w:rsidRPr="00050DEF">
        <w:rPr>
          <w:rFonts w:ascii="Times New Roman" w:hAnsi="Times New Roman" w:cs="Times New Roman"/>
          <w:sz w:val="24"/>
          <w:szCs w:val="24"/>
          <w:lang w:val="en-GB"/>
        </w:rPr>
        <w:t>487)</w:t>
      </w:r>
      <w:r w:rsidR="00AA60B9"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If we put this together with </w:t>
      </w:r>
      <w:r w:rsidR="00D20D03" w:rsidRPr="00050DEF">
        <w:rPr>
          <w:rFonts w:ascii="Times New Roman" w:hAnsi="Times New Roman" w:cs="Times New Roman"/>
          <w:sz w:val="24"/>
          <w:szCs w:val="24"/>
          <w:lang w:val="en-GB"/>
        </w:rPr>
        <w:t xml:space="preserve">two </w:t>
      </w:r>
      <w:r w:rsidRPr="00050DEF">
        <w:rPr>
          <w:rFonts w:ascii="Times New Roman" w:hAnsi="Times New Roman" w:cs="Times New Roman"/>
          <w:sz w:val="24"/>
          <w:szCs w:val="24"/>
          <w:lang w:val="en-GB"/>
        </w:rPr>
        <w:t xml:space="preserve">key </w:t>
      </w:r>
      <w:r w:rsidR="00D20D03" w:rsidRPr="00050DEF">
        <w:rPr>
          <w:rFonts w:ascii="Times New Roman" w:hAnsi="Times New Roman" w:cs="Times New Roman"/>
          <w:sz w:val="24"/>
          <w:szCs w:val="24"/>
          <w:lang w:val="en-GB"/>
        </w:rPr>
        <w:t>factors</w:t>
      </w:r>
      <w:r w:rsidRPr="00050DEF">
        <w:rPr>
          <w:rFonts w:ascii="Times New Roman" w:hAnsi="Times New Roman" w:cs="Times New Roman"/>
          <w:sz w:val="24"/>
          <w:szCs w:val="24"/>
          <w:lang w:val="en-GB"/>
        </w:rPr>
        <w:t xml:space="preserve"> about the macro-frame</w:t>
      </w:r>
      <w:r w:rsidR="00D20D03" w:rsidRPr="00050DEF">
        <w:rPr>
          <w:rFonts w:ascii="Times New Roman" w:hAnsi="Times New Roman" w:cs="Times New Roman"/>
          <w:sz w:val="24"/>
          <w:szCs w:val="24"/>
          <w:lang w:val="en-GB"/>
        </w:rPr>
        <w:t xml:space="preserve">, namely the degree to which the macro-frame is misaligned with the goals of the </w:t>
      </w:r>
      <w:r w:rsidR="00D20D03" w:rsidRPr="00050DEF">
        <w:rPr>
          <w:rFonts w:ascii="Times New Roman" w:hAnsi="Times New Roman" w:cs="Times New Roman"/>
          <w:sz w:val="24"/>
          <w:szCs w:val="24"/>
          <w:lang w:val="en-GB"/>
        </w:rPr>
        <w:lastRenderedPageBreak/>
        <w:t>interest group and the degree to which the macro-frame is hegemonic</w:t>
      </w:r>
      <w:r w:rsidRPr="00050DEF">
        <w:rPr>
          <w:rFonts w:ascii="Times New Roman" w:hAnsi="Times New Roman" w:cs="Times New Roman"/>
          <w:sz w:val="24"/>
          <w:szCs w:val="24"/>
          <w:lang w:val="en-GB"/>
        </w:rPr>
        <w:t>, we can sketch some rough potential outcomes</w:t>
      </w:r>
      <w:r w:rsidR="00D20D03" w:rsidRPr="00050DEF">
        <w:rPr>
          <w:rFonts w:ascii="Times New Roman" w:hAnsi="Times New Roman" w:cs="Times New Roman"/>
          <w:sz w:val="24"/>
          <w:szCs w:val="24"/>
          <w:lang w:val="en-GB"/>
        </w:rPr>
        <w:t xml:space="preserve">. </w:t>
      </w:r>
    </w:p>
    <w:p w14:paraId="4C8FF557" w14:textId="6FA57566" w:rsidR="00FB236B" w:rsidRPr="00050DEF" w:rsidRDefault="00D20D03" w:rsidP="00A87121">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In a situation where the macro-frame </w:t>
      </w:r>
      <w:r w:rsidR="009F6488" w:rsidRPr="00050DEF">
        <w:rPr>
          <w:rFonts w:ascii="Times New Roman" w:hAnsi="Times New Roman" w:cs="Times New Roman"/>
          <w:sz w:val="24"/>
          <w:szCs w:val="24"/>
          <w:lang w:val="en-GB"/>
        </w:rPr>
        <w:t xml:space="preserve">becomes </w:t>
      </w:r>
      <w:r w:rsidRPr="00050DEF">
        <w:rPr>
          <w:rFonts w:ascii="Times New Roman" w:hAnsi="Times New Roman" w:cs="Times New Roman"/>
          <w:sz w:val="24"/>
          <w:szCs w:val="24"/>
          <w:lang w:val="en-GB"/>
        </w:rPr>
        <w:t xml:space="preserve">both very misaligned and hegemonic, </w:t>
      </w:r>
      <w:r w:rsidR="004D3866" w:rsidRPr="00050DEF">
        <w:rPr>
          <w:rFonts w:ascii="Times New Roman" w:hAnsi="Times New Roman" w:cs="Times New Roman"/>
          <w:sz w:val="24"/>
          <w:szCs w:val="24"/>
          <w:lang w:val="en-GB"/>
        </w:rPr>
        <w:t>the public image of the interest group is almost inevitably and immediately scratched</w:t>
      </w:r>
      <w:r w:rsidR="00832576" w:rsidRPr="00050DEF">
        <w:rPr>
          <w:rFonts w:ascii="Times New Roman" w:hAnsi="Times New Roman" w:cs="Times New Roman"/>
          <w:sz w:val="24"/>
          <w:szCs w:val="24"/>
          <w:lang w:val="en-GB"/>
        </w:rPr>
        <w:t xml:space="preserve"> (</w:t>
      </w:r>
      <w:r w:rsidR="0084698B">
        <w:rPr>
          <w:rFonts w:ascii="Times New Roman" w:hAnsi="Times New Roman" w:cs="Times New Roman"/>
          <w:sz w:val="24"/>
          <w:szCs w:val="24"/>
          <w:lang w:val="en-GB"/>
        </w:rPr>
        <w:t>D</w:t>
      </w:r>
      <w:r w:rsidR="00C01D00">
        <w:rPr>
          <w:rFonts w:ascii="Times New Roman" w:hAnsi="Times New Roman" w:cs="Times New Roman"/>
          <w:sz w:val="24"/>
          <w:szCs w:val="24"/>
          <w:lang w:val="en-GB"/>
        </w:rPr>
        <w:t xml:space="preserve">e </w:t>
      </w:r>
      <w:r w:rsidR="00832576" w:rsidRPr="00050DEF">
        <w:rPr>
          <w:rFonts w:ascii="Times New Roman" w:hAnsi="Times New Roman" w:cs="Times New Roman"/>
          <w:sz w:val="24"/>
          <w:szCs w:val="24"/>
          <w:lang w:val="en-GB"/>
        </w:rPr>
        <w:t>Bruycker 2019</w:t>
      </w:r>
      <w:r w:rsidR="00446F32" w:rsidRPr="00050DEF">
        <w:rPr>
          <w:rFonts w:ascii="Times New Roman" w:hAnsi="Times New Roman" w:cs="Times New Roman"/>
          <w:sz w:val="24"/>
          <w:szCs w:val="24"/>
          <w:lang w:val="en-GB"/>
        </w:rPr>
        <w:t>: 107</w:t>
      </w:r>
      <w:r w:rsidR="009C7118" w:rsidRPr="00050DEF">
        <w:rPr>
          <w:rFonts w:ascii="Times New Roman" w:hAnsi="Times New Roman" w:cs="Times New Roman"/>
          <w:sz w:val="24"/>
          <w:szCs w:val="24"/>
          <w:lang w:val="en-GB"/>
        </w:rPr>
        <w:t>–</w:t>
      </w:r>
      <w:r w:rsidR="00446F32" w:rsidRPr="00050DEF">
        <w:rPr>
          <w:rFonts w:ascii="Times New Roman" w:hAnsi="Times New Roman" w:cs="Times New Roman"/>
          <w:sz w:val="24"/>
          <w:szCs w:val="24"/>
          <w:lang w:val="en-GB"/>
        </w:rPr>
        <w:t>108)</w:t>
      </w:r>
      <w:r w:rsidR="004D3866" w:rsidRPr="00050DEF">
        <w:rPr>
          <w:rFonts w:ascii="Times New Roman" w:hAnsi="Times New Roman" w:cs="Times New Roman"/>
          <w:sz w:val="24"/>
          <w:szCs w:val="24"/>
          <w:lang w:val="en-GB"/>
        </w:rPr>
        <w:t xml:space="preserve">. As Berkhout </w:t>
      </w:r>
      <w:r w:rsidR="00DA5573" w:rsidRPr="00050DEF">
        <w:rPr>
          <w:rFonts w:ascii="Times New Roman" w:hAnsi="Times New Roman" w:cs="Times New Roman"/>
          <w:sz w:val="24"/>
          <w:lang w:val="en-GB"/>
        </w:rPr>
        <w:t>(2013: 232)</w:t>
      </w:r>
      <w:r w:rsidR="00FB236B" w:rsidRPr="00050DEF">
        <w:rPr>
          <w:rFonts w:ascii="Times New Roman" w:hAnsi="Times New Roman" w:cs="Times New Roman"/>
          <w:sz w:val="24"/>
          <w:szCs w:val="24"/>
          <w:lang w:val="en-GB"/>
        </w:rPr>
        <w:t xml:space="preserve"> </w:t>
      </w:r>
      <w:r w:rsidR="004D3866" w:rsidRPr="00050DEF">
        <w:rPr>
          <w:rFonts w:ascii="Times New Roman" w:hAnsi="Times New Roman" w:cs="Times New Roman"/>
          <w:sz w:val="24"/>
          <w:szCs w:val="24"/>
          <w:lang w:val="en-GB"/>
        </w:rPr>
        <w:t>explains, a tainted image undermines the credibility of the interest group and therefore its ability to influence policy. While this is a problem not only in the short-term but also</w:t>
      </w:r>
      <w:r w:rsidR="004C1F44" w:rsidRPr="00050DEF">
        <w:rPr>
          <w:rFonts w:ascii="Times New Roman" w:hAnsi="Times New Roman" w:cs="Times New Roman"/>
          <w:sz w:val="24"/>
          <w:szCs w:val="24"/>
          <w:lang w:val="en-GB"/>
        </w:rPr>
        <w:t xml:space="preserve"> in</w:t>
      </w:r>
      <w:r w:rsidR="004D3866" w:rsidRPr="00050DEF">
        <w:rPr>
          <w:rFonts w:ascii="Times New Roman" w:hAnsi="Times New Roman" w:cs="Times New Roman"/>
          <w:sz w:val="24"/>
          <w:szCs w:val="24"/>
          <w:lang w:val="en-GB"/>
        </w:rPr>
        <w:t xml:space="preserve"> the long-term, it </w:t>
      </w:r>
      <w:r w:rsidR="004C1F44" w:rsidRPr="00050DEF">
        <w:rPr>
          <w:rFonts w:ascii="Times New Roman" w:hAnsi="Times New Roman" w:cs="Times New Roman"/>
          <w:sz w:val="24"/>
          <w:szCs w:val="24"/>
          <w:lang w:val="en-GB"/>
        </w:rPr>
        <w:t xml:space="preserve">is </w:t>
      </w:r>
      <w:r w:rsidR="007B4B5E" w:rsidRPr="00050DEF">
        <w:rPr>
          <w:rFonts w:ascii="Times New Roman" w:hAnsi="Times New Roman" w:cs="Times New Roman"/>
          <w:sz w:val="24"/>
          <w:szCs w:val="24"/>
          <w:lang w:val="en-GB"/>
        </w:rPr>
        <w:t xml:space="preserve">potentially </w:t>
      </w:r>
      <w:r w:rsidR="004C1F44" w:rsidRPr="00050DEF">
        <w:rPr>
          <w:rFonts w:ascii="Times New Roman" w:hAnsi="Times New Roman" w:cs="Times New Roman"/>
          <w:sz w:val="24"/>
          <w:szCs w:val="24"/>
          <w:lang w:val="en-GB"/>
        </w:rPr>
        <w:t xml:space="preserve">fixable through </w:t>
      </w:r>
      <w:r w:rsidR="00A87121" w:rsidRPr="00050DEF">
        <w:rPr>
          <w:rFonts w:ascii="Times New Roman" w:hAnsi="Times New Roman" w:cs="Times New Roman"/>
          <w:sz w:val="24"/>
          <w:szCs w:val="24"/>
          <w:lang w:val="en-GB"/>
        </w:rPr>
        <w:t>micro-framing</w:t>
      </w:r>
      <w:r w:rsidR="004C1F44" w:rsidRPr="00050DEF">
        <w:rPr>
          <w:rFonts w:ascii="Times New Roman" w:hAnsi="Times New Roman" w:cs="Times New Roman"/>
          <w:sz w:val="24"/>
          <w:szCs w:val="24"/>
          <w:lang w:val="en-GB"/>
        </w:rPr>
        <w:t xml:space="preserve"> and heavy news engagement</w:t>
      </w:r>
      <w:r w:rsidR="004D3866" w:rsidRPr="00050DEF">
        <w:rPr>
          <w:rFonts w:ascii="Times New Roman" w:hAnsi="Times New Roman" w:cs="Times New Roman"/>
          <w:sz w:val="24"/>
          <w:szCs w:val="24"/>
          <w:lang w:val="en-GB"/>
        </w:rPr>
        <w:t>.</w:t>
      </w:r>
      <w:r w:rsidR="00A87121" w:rsidRPr="00050DEF">
        <w:rPr>
          <w:rFonts w:ascii="Times New Roman" w:hAnsi="Times New Roman" w:cs="Times New Roman"/>
          <w:sz w:val="24"/>
          <w:szCs w:val="24"/>
          <w:lang w:val="en-GB"/>
        </w:rPr>
        <w:t xml:space="preserve"> </w:t>
      </w:r>
      <w:r w:rsidR="00AA60B9" w:rsidRPr="00050DEF">
        <w:rPr>
          <w:rFonts w:ascii="Times New Roman" w:hAnsi="Times New Roman" w:cs="Times New Roman"/>
          <w:sz w:val="24"/>
          <w:szCs w:val="24"/>
          <w:lang w:val="en-GB"/>
        </w:rPr>
        <w:t xml:space="preserve">However, more importantly, there is a real danger that </w:t>
      </w:r>
      <w:r w:rsidR="004C1F44" w:rsidRPr="00050DEF">
        <w:rPr>
          <w:rFonts w:ascii="Times New Roman" w:hAnsi="Times New Roman" w:cs="Times New Roman"/>
          <w:sz w:val="24"/>
          <w:szCs w:val="24"/>
          <w:lang w:val="en-GB"/>
        </w:rPr>
        <w:t>stricter</w:t>
      </w:r>
      <w:r w:rsidR="00AA60B9" w:rsidRPr="00050DEF">
        <w:rPr>
          <w:rFonts w:ascii="Times New Roman" w:hAnsi="Times New Roman" w:cs="Times New Roman"/>
          <w:sz w:val="24"/>
          <w:szCs w:val="24"/>
          <w:lang w:val="en-GB"/>
        </w:rPr>
        <w:t xml:space="preserve"> regulation is enacted</w:t>
      </w:r>
      <w:r w:rsidR="00A87121" w:rsidRPr="00050DEF">
        <w:rPr>
          <w:rFonts w:ascii="Times New Roman" w:hAnsi="Times New Roman" w:cs="Times New Roman"/>
          <w:sz w:val="24"/>
          <w:szCs w:val="24"/>
          <w:lang w:val="en-GB"/>
        </w:rPr>
        <w:t xml:space="preserve"> </w:t>
      </w:r>
      <w:r w:rsidR="004C1F44" w:rsidRPr="00050DEF">
        <w:rPr>
          <w:rFonts w:ascii="Times New Roman" w:hAnsi="Times New Roman" w:cs="Times New Roman"/>
          <w:sz w:val="24"/>
          <w:szCs w:val="24"/>
          <w:lang w:val="en-GB"/>
        </w:rPr>
        <w:t xml:space="preserve">along with the </w:t>
      </w:r>
      <w:r w:rsidR="00A87121" w:rsidRPr="00050DEF">
        <w:rPr>
          <w:rFonts w:ascii="Times New Roman" w:hAnsi="Times New Roman" w:cs="Times New Roman"/>
          <w:sz w:val="24"/>
          <w:szCs w:val="24"/>
          <w:lang w:val="en-GB"/>
        </w:rPr>
        <w:t>turn-around of the macro-frame</w:t>
      </w:r>
      <w:r w:rsidR="00AA60B9" w:rsidRPr="00050DEF">
        <w:rPr>
          <w:rFonts w:ascii="Times New Roman" w:hAnsi="Times New Roman" w:cs="Times New Roman"/>
          <w:sz w:val="24"/>
          <w:szCs w:val="24"/>
          <w:lang w:val="en-GB"/>
        </w:rPr>
        <w:t xml:space="preserve">. </w:t>
      </w:r>
      <w:r w:rsidR="004C1F44" w:rsidRPr="00050DEF">
        <w:rPr>
          <w:rFonts w:ascii="Times New Roman" w:hAnsi="Times New Roman" w:cs="Times New Roman"/>
          <w:sz w:val="24"/>
          <w:szCs w:val="24"/>
          <w:lang w:val="en-GB"/>
        </w:rPr>
        <w:t>T</w:t>
      </w:r>
      <w:r w:rsidR="00A87121" w:rsidRPr="00050DEF">
        <w:rPr>
          <w:rFonts w:ascii="Times New Roman" w:hAnsi="Times New Roman" w:cs="Times New Roman"/>
          <w:sz w:val="24"/>
          <w:szCs w:val="24"/>
          <w:lang w:val="en-GB"/>
        </w:rPr>
        <w:t xml:space="preserve">his is much worse because it is </w:t>
      </w:r>
      <w:r w:rsidR="004C1F44" w:rsidRPr="00050DEF">
        <w:rPr>
          <w:rFonts w:ascii="Times New Roman" w:hAnsi="Times New Roman" w:cs="Times New Roman"/>
          <w:sz w:val="24"/>
          <w:szCs w:val="24"/>
          <w:lang w:val="en-GB"/>
        </w:rPr>
        <w:t xml:space="preserve">permanent. </w:t>
      </w:r>
      <w:r w:rsidR="003E4ACD" w:rsidRPr="00050DEF">
        <w:rPr>
          <w:rFonts w:ascii="Times New Roman" w:hAnsi="Times New Roman" w:cs="Times New Roman"/>
          <w:sz w:val="24"/>
          <w:szCs w:val="24"/>
          <w:lang w:val="en-GB"/>
        </w:rPr>
        <w:t>The interest group is not part of policy-making in the parliament, and i</w:t>
      </w:r>
      <w:r w:rsidR="004C1F44" w:rsidRPr="00050DEF">
        <w:rPr>
          <w:rFonts w:ascii="Times New Roman" w:hAnsi="Times New Roman" w:cs="Times New Roman"/>
          <w:sz w:val="24"/>
          <w:szCs w:val="24"/>
          <w:lang w:val="en-GB"/>
        </w:rPr>
        <w:t xml:space="preserve">t is </w:t>
      </w:r>
      <w:r w:rsidR="003E4ACD" w:rsidRPr="00050DEF">
        <w:rPr>
          <w:rFonts w:ascii="Times New Roman" w:hAnsi="Times New Roman" w:cs="Times New Roman"/>
          <w:sz w:val="24"/>
          <w:szCs w:val="24"/>
          <w:lang w:val="en-GB"/>
        </w:rPr>
        <w:t xml:space="preserve">therefore </w:t>
      </w:r>
      <w:r w:rsidR="00A87121" w:rsidRPr="00050DEF">
        <w:rPr>
          <w:rFonts w:ascii="Times New Roman" w:hAnsi="Times New Roman" w:cs="Times New Roman"/>
          <w:sz w:val="24"/>
          <w:szCs w:val="24"/>
          <w:lang w:val="en-GB"/>
        </w:rPr>
        <w:t xml:space="preserve">far more difficult </w:t>
      </w:r>
      <w:r w:rsidR="003E4ACD" w:rsidRPr="00050DEF">
        <w:rPr>
          <w:rFonts w:ascii="Times New Roman" w:hAnsi="Times New Roman" w:cs="Times New Roman"/>
          <w:sz w:val="24"/>
          <w:szCs w:val="24"/>
          <w:lang w:val="en-GB"/>
        </w:rPr>
        <w:t xml:space="preserve">for the interest group </w:t>
      </w:r>
      <w:r w:rsidR="00A87121" w:rsidRPr="00050DEF">
        <w:rPr>
          <w:rFonts w:ascii="Times New Roman" w:hAnsi="Times New Roman" w:cs="Times New Roman"/>
          <w:sz w:val="24"/>
          <w:szCs w:val="24"/>
          <w:lang w:val="en-GB"/>
        </w:rPr>
        <w:t xml:space="preserve">to revert a bad policy decision than a bad policy image. </w:t>
      </w:r>
      <w:r w:rsidR="003E4ACD" w:rsidRPr="00050DEF">
        <w:rPr>
          <w:rFonts w:ascii="Times New Roman" w:hAnsi="Times New Roman" w:cs="Times New Roman"/>
          <w:sz w:val="24"/>
          <w:szCs w:val="24"/>
          <w:lang w:val="en-GB"/>
        </w:rPr>
        <w:t>Moreover, a tainted image only poses a threat of stricter regulation</w:t>
      </w:r>
      <w:r w:rsidR="00883AE3">
        <w:rPr>
          <w:rFonts w:ascii="Times New Roman" w:hAnsi="Times New Roman" w:cs="Times New Roman"/>
          <w:sz w:val="24"/>
          <w:szCs w:val="24"/>
          <w:lang w:val="en-GB"/>
        </w:rPr>
        <w:t>,</w:t>
      </w:r>
      <w:r w:rsidR="003E4ACD" w:rsidRPr="00050DEF">
        <w:rPr>
          <w:rFonts w:ascii="Times New Roman" w:hAnsi="Times New Roman" w:cs="Times New Roman"/>
          <w:sz w:val="24"/>
          <w:szCs w:val="24"/>
          <w:lang w:val="en-GB"/>
        </w:rPr>
        <w:t xml:space="preserve"> whereas the enactment of policy change by definition entails stricter regulation if the macro-frame changes. </w:t>
      </w:r>
      <w:r w:rsidR="004C1F44" w:rsidRPr="00050DEF">
        <w:rPr>
          <w:rFonts w:ascii="Times New Roman" w:hAnsi="Times New Roman" w:cs="Times New Roman"/>
          <w:sz w:val="24"/>
          <w:szCs w:val="24"/>
          <w:lang w:val="en-GB"/>
        </w:rPr>
        <w:t xml:space="preserve">Hence, we should expect interest groups to put policy influence (2) </w:t>
      </w:r>
      <w:r w:rsidR="00EB2856" w:rsidRPr="00050DEF">
        <w:rPr>
          <w:rFonts w:ascii="Times New Roman" w:hAnsi="Times New Roman" w:cs="Times New Roman"/>
          <w:sz w:val="24"/>
          <w:szCs w:val="24"/>
          <w:lang w:val="en-GB"/>
        </w:rPr>
        <w:t>before public image (3). Given budget constraints, the first response is therefore to throw all resources into policy influence and</w:t>
      </w:r>
      <w:r w:rsidR="00883AE3">
        <w:rPr>
          <w:rFonts w:ascii="Times New Roman" w:hAnsi="Times New Roman" w:cs="Times New Roman"/>
          <w:sz w:val="24"/>
          <w:szCs w:val="24"/>
          <w:lang w:val="en-GB"/>
        </w:rPr>
        <w:t>,</w:t>
      </w:r>
      <w:r w:rsidR="00EB2856" w:rsidRPr="00050DEF">
        <w:rPr>
          <w:rFonts w:ascii="Times New Roman" w:hAnsi="Times New Roman" w:cs="Times New Roman"/>
          <w:sz w:val="24"/>
          <w:szCs w:val="24"/>
          <w:lang w:val="en-GB"/>
        </w:rPr>
        <w:t xml:space="preserve"> in consequence</w:t>
      </w:r>
      <w:r w:rsidR="00883AE3">
        <w:rPr>
          <w:rFonts w:ascii="Times New Roman" w:hAnsi="Times New Roman" w:cs="Times New Roman"/>
          <w:sz w:val="24"/>
          <w:szCs w:val="24"/>
          <w:lang w:val="en-GB"/>
        </w:rPr>
        <w:t>,</w:t>
      </w:r>
      <w:r w:rsidR="00EB2856" w:rsidRPr="00050DEF">
        <w:rPr>
          <w:rFonts w:ascii="Times New Roman" w:hAnsi="Times New Roman" w:cs="Times New Roman"/>
          <w:sz w:val="24"/>
          <w:szCs w:val="24"/>
          <w:lang w:val="en-GB"/>
        </w:rPr>
        <w:t xml:space="preserve"> pursue the </w:t>
      </w:r>
      <w:r w:rsidR="00EB2856" w:rsidRPr="00050DEF">
        <w:rPr>
          <w:rFonts w:ascii="Times New Roman" w:hAnsi="Times New Roman" w:cs="Times New Roman"/>
          <w:i/>
          <w:sz w:val="24"/>
          <w:szCs w:val="24"/>
          <w:lang w:val="en-GB"/>
        </w:rPr>
        <w:t>exit strategy</w:t>
      </w:r>
      <w:r w:rsidR="00596DEB" w:rsidRPr="00050DEF">
        <w:rPr>
          <w:rFonts w:ascii="Times New Roman" w:hAnsi="Times New Roman" w:cs="Times New Roman"/>
          <w:sz w:val="24"/>
          <w:szCs w:val="24"/>
          <w:lang w:val="en-GB"/>
        </w:rPr>
        <w:t xml:space="preserve"> (assuming fixed resources)</w:t>
      </w:r>
      <w:r w:rsidR="00EB2856" w:rsidRPr="00050DEF">
        <w:rPr>
          <w:rFonts w:ascii="Times New Roman" w:hAnsi="Times New Roman" w:cs="Times New Roman"/>
          <w:sz w:val="24"/>
          <w:szCs w:val="24"/>
          <w:lang w:val="en-GB"/>
        </w:rPr>
        <w:t>. Only when the immediate threat of stricter policy is avoided, the interest groups will turn to protect its public image and</w:t>
      </w:r>
      <w:r w:rsidR="00883AE3">
        <w:rPr>
          <w:rFonts w:ascii="Times New Roman" w:hAnsi="Times New Roman" w:cs="Times New Roman"/>
          <w:sz w:val="24"/>
          <w:szCs w:val="24"/>
          <w:lang w:val="en-GB"/>
        </w:rPr>
        <w:t>,</w:t>
      </w:r>
      <w:r w:rsidR="00EB2856" w:rsidRPr="00050DEF">
        <w:rPr>
          <w:rFonts w:ascii="Times New Roman" w:hAnsi="Times New Roman" w:cs="Times New Roman"/>
          <w:sz w:val="24"/>
          <w:szCs w:val="24"/>
          <w:lang w:val="en-GB"/>
        </w:rPr>
        <w:t xml:space="preserve"> therefore</w:t>
      </w:r>
      <w:r w:rsidR="00883AE3">
        <w:rPr>
          <w:rFonts w:ascii="Times New Roman" w:hAnsi="Times New Roman" w:cs="Times New Roman"/>
          <w:sz w:val="24"/>
          <w:szCs w:val="24"/>
          <w:lang w:val="en-GB"/>
        </w:rPr>
        <w:t>,</w:t>
      </w:r>
      <w:r w:rsidR="00EB2856" w:rsidRPr="00050DEF">
        <w:rPr>
          <w:rFonts w:ascii="Times New Roman" w:hAnsi="Times New Roman" w:cs="Times New Roman"/>
          <w:sz w:val="24"/>
          <w:szCs w:val="24"/>
          <w:lang w:val="en-GB"/>
        </w:rPr>
        <w:t xml:space="preserve"> turn to an </w:t>
      </w:r>
      <w:r w:rsidR="00EB2856" w:rsidRPr="00050DEF">
        <w:rPr>
          <w:rFonts w:ascii="Times New Roman" w:hAnsi="Times New Roman" w:cs="Times New Roman"/>
          <w:i/>
          <w:sz w:val="24"/>
          <w:szCs w:val="24"/>
          <w:lang w:val="en-GB"/>
        </w:rPr>
        <w:t>engagement strategy</w:t>
      </w:r>
      <w:r w:rsidR="00EB2856" w:rsidRPr="00050DEF">
        <w:rPr>
          <w:rFonts w:ascii="Times New Roman" w:hAnsi="Times New Roman" w:cs="Times New Roman"/>
          <w:sz w:val="24"/>
          <w:szCs w:val="24"/>
          <w:lang w:val="en-GB"/>
        </w:rPr>
        <w:t xml:space="preserve">. </w:t>
      </w:r>
      <w:r w:rsidR="00ED7319" w:rsidRPr="00050DEF">
        <w:rPr>
          <w:rFonts w:ascii="Times New Roman" w:hAnsi="Times New Roman" w:cs="Times New Roman"/>
          <w:sz w:val="24"/>
          <w:szCs w:val="24"/>
          <w:lang w:val="en-GB"/>
        </w:rPr>
        <w:t xml:space="preserve">This is a prediction </w:t>
      </w:r>
      <w:r w:rsidR="00883AE3">
        <w:rPr>
          <w:rFonts w:ascii="Times New Roman" w:hAnsi="Times New Roman" w:cs="Times New Roman"/>
          <w:sz w:val="24"/>
          <w:szCs w:val="24"/>
          <w:lang w:val="en-GB"/>
        </w:rPr>
        <w:t>that</w:t>
      </w:r>
      <w:r w:rsidR="00ED7319" w:rsidRPr="00050DEF">
        <w:rPr>
          <w:rFonts w:ascii="Times New Roman" w:hAnsi="Times New Roman" w:cs="Times New Roman"/>
          <w:sz w:val="24"/>
          <w:szCs w:val="24"/>
          <w:lang w:val="en-GB"/>
        </w:rPr>
        <w:t xml:space="preserve"> </w:t>
      </w:r>
      <w:r w:rsidR="0084698B">
        <w:rPr>
          <w:rFonts w:ascii="Times New Roman" w:hAnsi="Times New Roman" w:cs="Times New Roman"/>
          <w:sz w:val="24"/>
          <w:szCs w:val="24"/>
          <w:lang w:val="en-GB"/>
        </w:rPr>
        <w:t>D</w:t>
      </w:r>
      <w:r w:rsidR="00596DEB" w:rsidRPr="00050DEF">
        <w:rPr>
          <w:rFonts w:ascii="Times New Roman" w:hAnsi="Times New Roman" w:cs="Times New Roman"/>
          <w:sz w:val="24"/>
          <w:szCs w:val="24"/>
          <w:lang w:val="en-GB"/>
        </w:rPr>
        <w:t xml:space="preserve">e </w:t>
      </w:r>
      <w:r w:rsidR="00ED7319" w:rsidRPr="00050DEF">
        <w:rPr>
          <w:rFonts w:ascii="Times New Roman" w:hAnsi="Times New Roman" w:cs="Times New Roman"/>
          <w:sz w:val="24"/>
          <w:szCs w:val="24"/>
          <w:lang w:val="en-GB"/>
        </w:rPr>
        <w:t>Bru</w:t>
      </w:r>
      <w:r w:rsidR="00832576" w:rsidRPr="00050DEF">
        <w:rPr>
          <w:rFonts w:ascii="Times New Roman" w:hAnsi="Times New Roman" w:cs="Times New Roman"/>
          <w:sz w:val="24"/>
          <w:szCs w:val="24"/>
          <w:lang w:val="en-GB"/>
        </w:rPr>
        <w:t>ycker (2019</w:t>
      </w:r>
      <w:r w:rsidR="00ED7319" w:rsidRPr="00050DEF">
        <w:rPr>
          <w:rFonts w:ascii="Times New Roman" w:hAnsi="Times New Roman" w:cs="Times New Roman"/>
          <w:sz w:val="24"/>
          <w:szCs w:val="24"/>
          <w:lang w:val="en-GB"/>
        </w:rPr>
        <w:t>: 106</w:t>
      </w:r>
      <w:r w:rsidR="009C7118" w:rsidRPr="00050DEF">
        <w:rPr>
          <w:rFonts w:ascii="Times New Roman" w:hAnsi="Times New Roman" w:cs="Times New Roman"/>
          <w:sz w:val="24"/>
          <w:szCs w:val="24"/>
          <w:lang w:val="en-GB"/>
        </w:rPr>
        <w:t>–</w:t>
      </w:r>
      <w:r w:rsidR="00ED7319" w:rsidRPr="00050DEF">
        <w:rPr>
          <w:rFonts w:ascii="Times New Roman" w:hAnsi="Times New Roman" w:cs="Times New Roman"/>
          <w:sz w:val="24"/>
          <w:szCs w:val="24"/>
          <w:lang w:val="en-GB"/>
        </w:rPr>
        <w:t>108</w:t>
      </w:r>
      <w:r w:rsidR="00DD2E2F" w:rsidRPr="00050DEF">
        <w:rPr>
          <w:rFonts w:ascii="Times New Roman" w:hAnsi="Times New Roman" w:cs="Times New Roman"/>
          <w:sz w:val="24"/>
          <w:szCs w:val="24"/>
          <w:lang w:val="en-GB"/>
        </w:rPr>
        <w:t>) also make</w:t>
      </w:r>
      <w:r w:rsidR="00596DEB" w:rsidRPr="00050DEF">
        <w:rPr>
          <w:rFonts w:ascii="Times New Roman" w:hAnsi="Times New Roman" w:cs="Times New Roman"/>
          <w:sz w:val="24"/>
          <w:szCs w:val="24"/>
          <w:lang w:val="en-GB"/>
        </w:rPr>
        <w:t>s</w:t>
      </w:r>
      <w:r w:rsidR="00DD2E2F" w:rsidRPr="00050DEF">
        <w:rPr>
          <w:rFonts w:ascii="Times New Roman" w:hAnsi="Times New Roman" w:cs="Times New Roman"/>
          <w:sz w:val="24"/>
          <w:szCs w:val="24"/>
          <w:lang w:val="en-GB"/>
        </w:rPr>
        <w:t xml:space="preserve"> in his study of interest group framing in the EU. </w:t>
      </w:r>
    </w:p>
    <w:p w14:paraId="49C3E7AB" w14:textId="6EE7250D" w:rsidR="00EF46C1" w:rsidRPr="00050DEF" w:rsidRDefault="00EB2856" w:rsidP="00AB3448">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This means that th</w:t>
      </w:r>
      <w:r w:rsidR="007C270F" w:rsidRPr="00050DEF">
        <w:rPr>
          <w:rFonts w:ascii="Times New Roman" w:hAnsi="Times New Roman" w:cs="Times New Roman"/>
          <w:sz w:val="24"/>
          <w:szCs w:val="24"/>
          <w:lang w:val="en-GB"/>
        </w:rPr>
        <w:t>e interest group entirely side</w:t>
      </w:r>
      <w:r w:rsidRPr="00050DEF">
        <w:rPr>
          <w:rFonts w:ascii="Times New Roman" w:hAnsi="Times New Roman" w:cs="Times New Roman"/>
          <w:sz w:val="24"/>
          <w:szCs w:val="24"/>
          <w:lang w:val="en-GB"/>
        </w:rPr>
        <w:t>steps the basic interest of its members</w:t>
      </w:r>
      <w:r w:rsidR="00FB236B" w:rsidRPr="00050DEF">
        <w:rPr>
          <w:rFonts w:ascii="Times New Roman" w:hAnsi="Times New Roman" w:cs="Times New Roman"/>
          <w:sz w:val="24"/>
          <w:szCs w:val="24"/>
          <w:lang w:val="en-GB"/>
        </w:rPr>
        <w:t xml:space="preserve"> (3)</w:t>
      </w:r>
      <w:r w:rsidRPr="00050DEF">
        <w:rPr>
          <w:rFonts w:ascii="Times New Roman" w:hAnsi="Times New Roman" w:cs="Times New Roman"/>
          <w:sz w:val="24"/>
          <w:szCs w:val="24"/>
          <w:lang w:val="en-GB"/>
        </w:rPr>
        <w:t xml:space="preserve">, namely to promote the private interest </w:t>
      </w:r>
      <w:r w:rsidR="00EF46C1" w:rsidRPr="00050DEF">
        <w:rPr>
          <w:rFonts w:ascii="Times New Roman" w:hAnsi="Times New Roman" w:cs="Times New Roman"/>
          <w:sz w:val="24"/>
          <w:lang w:val="en-GB"/>
        </w:rPr>
        <w:t>(Berkhout 2013)</w:t>
      </w:r>
      <w:r w:rsidRPr="00050DEF">
        <w:rPr>
          <w:rFonts w:ascii="Times New Roman" w:hAnsi="Times New Roman" w:cs="Times New Roman"/>
          <w:sz w:val="24"/>
          <w:szCs w:val="24"/>
          <w:lang w:val="en-GB"/>
        </w:rPr>
        <w:t xml:space="preserve">. However, members usually have nowhere else to go, and most of them will probably also acquiesce </w:t>
      </w:r>
      <w:r w:rsidR="005E7D06" w:rsidRPr="00050DEF">
        <w:rPr>
          <w:rFonts w:ascii="Times New Roman" w:hAnsi="Times New Roman" w:cs="Times New Roman"/>
          <w:sz w:val="24"/>
          <w:szCs w:val="24"/>
          <w:lang w:val="en-GB"/>
        </w:rPr>
        <w:t xml:space="preserve">to the order of response by the interest group as avoiding stricter policy and a tainted public image is also in their long-term interest. However, the private interest is the </w:t>
      </w:r>
      <w:r w:rsidR="005E7D06" w:rsidRPr="00050DEF">
        <w:rPr>
          <w:rFonts w:ascii="Times New Roman" w:hAnsi="Times New Roman" w:cs="Times New Roman"/>
          <w:i/>
          <w:sz w:val="24"/>
          <w:szCs w:val="24"/>
          <w:lang w:val="en-GB"/>
        </w:rPr>
        <w:t xml:space="preserve">raison d’étre </w:t>
      </w:r>
      <w:r w:rsidR="005E7D06" w:rsidRPr="00050DEF">
        <w:rPr>
          <w:rFonts w:ascii="Times New Roman" w:hAnsi="Times New Roman" w:cs="Times New Roman"/>
          <w:sz w:val="24"/>
          <w:szCs w:val="24"/>
          <w:lang w:val="en-GB"/>
        </w:rPr>
        <w:t>of interest groups</w:t>
      </w:r>
      <w:r w:rsidR="003F6ED3">
        <w:rPr>
          <w:rFonts w:ascii="Times New Roman" w:hAnsi="Times New Roman" w:cs="Times New Roman"/>
          <w:sz w:val="24"/>
          <w:szCs w:val="24"/>
          <w:lang w:val="en-GB"/>
        </w:rPr>
        <w:t>,</w:t>
      </w:r>
      <w:r w:rsidR="005E7D06" w:rsidRPr="00050DEF">
        <w:rPr>
          <w:rFonts w:ascii="Times New Roman" w:hAnsi="Times New Roman" w:cs="Times New Roman"/>
          <w:sz w:val="24"/>
          <w:szCs w:val="24"/>
          <w:lang w:val="en-GB"/>
        </w:rPr>
        <w:t xml:space="preserve"> and the interest groups will eventually – and as </w:t>
      </w:r>
      <w:r w:rsidR="005E7D06" w:rsidRPr="00050DEF">
        <w:rPr>
          <w:rFonts w:ascii="Times New Roman" w:hAnsi="Times New Roman" w:cs="Times New Roman"/>
          <w:sz w:val="24"/>
          <w:szCs w:val="24"/>
          <w:lang w:val="en-GB"/>
        </w:rPr>
        <w:lastRenderedPageBreak/>
        <w:t>soon as possible – return</w:t>
      </w:r>
      <w:r w:rsidR="00596DEB" w:rsidRPr="00050DEF">
        <w:rPr>
          <w:rFonts w:ascii="Times New Roman" w:hAnsi="Times New Roman" w:cs="Times New Roman"/>
          <w:sz w:val="24"/>
          <w:szCs w:val="24"/>
          <w:lang w:val="en-GB"/>
        </w:rPr>
        <w:t xml:space="preserve"> to its starting point</w:t>
      </w:r>
      <w:r w:rsidR="005E7D06" w:rsidRPr="00050DEF">
        <w:rPr>
          <w:rFonts w:ascii="Times New Roman" w:hAnsi="Times New Roman" w:cs="Times New Roman"/>
          <w:sz w:val="24"/>
          <w:szCs w:val="24"/>
          <w:lang w:val="en-GB"/>
        </w:rPr>
        <w:t xml:space="preserve"> and</w:t>
      </w:r>
      <w:r w:rsidR="003F6ED3">
        <w:rPr>
          <w:rFonts w:ascii="Times New Roman" w:hAnsi="Times New Roman" w:cs="Times New Roman"/>
          <w:sz w:val="24"/>
          <w:szCs w:val="24"/>
          <w:lang w:val="en-GB"/>
        </w:rPr>
        <w:t>,</w:t>
      </w:r>
      <w:r w:rsidR="005E7D06" w:rsidRPr="00050DEF">
        <w:rPr>
          <w:rFonts w:ascii="Times New Roman" w:hAnsi="Times New Roman" w:cs="Times New Roman"/>
          <w:sz w:val="24"/>
          <w:szCs w:val="24"/>
          <w:lang w:val="en-GB"/>
        </w:rPr>
        <w:t xml:space="preserve"> therefore</w:t>
      </w:r>
      <w:r w:rsidR="003F6ED3">
        <w:rPr>
          <w:rFonts w:ascii="Times New Roman" w:hAnsi="Times New Roman" w:cs="Times New Roman"/>
          <w:sz w:val="24"/>
          <w:szCs w:val="24"/>
          <w:lang w:val="en-GB"/>
        </w:rPr>
        <w:t>,</w:t>
      </w:r>
      <w:r w:rsidR="005E7D06" w:rsidRPr="00050DEF">
        <w:rPr>
          <w:rFonts w:ascii="Times New Roman" w:hAnsi="Times New Roman" w:cs="Times New Roman"/>
          <w:sz w:val="24"/>
          <w:szCs w:val="24"/>
          <w:lang w:val="en-GB"/>
        </w:rPr>
        <w:t xml:space="preserve"> adopt the </w:t>
      </w:r>
      <w:r w:rsidR="005E7D06" w:rsidRPr="00050DEF">
        <w:rPr>
          <w:rFonts w:ascii="Times New Roman" w:hAnsi="Times New Roman" w:cs="Times New Roman"/>
          <w:i/>
          <w:sz w:val="24"/>
          <w:szCs w:val="24"/>
          <w:lang w:val="en-GB"/>
        </w:rPr>
        <w:t>rejection strategy</w:t>
      </w:r>
      <w:r w:rsidR="005E7D06" w:rsidRPr="00050DEF">
        <w:rPr>
          <w:rFonts w:ascii="Times New Roman" w:hAnsi="Times New Roman" w:cs="Times New Roman"/>
          <w:sz w:val="24"/>
          <w:szCs w:val="24"/>
          <w:lang w:val="en-GB"/>
        </w:rPr>
        <w:t xml:space="preserve">. </w:t>
      </w:r>
      <w:r w:rsidR="00EF46C1" w:rsidRPr="00050DEF">
        <w:rPr>
          <w:rFonts w:ascii="Times New Roman" w:hAnsi="Times New Roman" w:cs="Times New Roman"/>
          <w:sz w:val="24"/>
          <w:szCs w:val="24"/>
          <w:lang w:val="en-GB"/>
        </w:rPr>
        <w:t xml:space="preserve">This sequence – with the rejection strategy last – is probably particularly pronounced for business associations (as opposed to public interest associations) because their private </w:t>
      </w:r>
      <w:r w:rsidR="000511C6" w:rsidRPr="00050DEF">
        <w:rPr>
          <w:rFonts w:ascii="Times New Roman" w:hAnsi="Times New Roman" w:cs="Times New Roman"/>
          <w:sz w:val="24"/>
          <w:szCs w:val="24"/>
          <w:lang w:val="en-GB"/>
        </w:rPr>
        <w:t xml:space="preserve">(economic) </w:t>
      </w:r>
      <w:r w:rsidR="00EF46C1" w:rsidRPr="00050DEF">
        <w:rPr>
          <w:rFonts w:ascii="Times New Roman" w:hAnsi="Times New Roman" w:cs="Times New Roman"/>
          <w:sz w:val="24"/>
          <w:szCs w:val="24"/>
          <w:lang w:val="en-GB"/>
        </w:rPr>
        <w:t>interest more often and more directly collide</w:t>
      </w:r>
      <w:r w:rsidR="00B65E0F">
        <w:rPr>
          <w:rFonts w:ascii="Times New Roman" w:hAnsi="Times New Roman" w:cs="Times New Roman"/>
          <w:sz w:val="24"/>
          <w:szCs w:val="24"/>
          <w:lang w:val="en-GB"/>
        </w:rPr>
        <w:t>s</w:t>
      </w:r>
      <w:r w:rsidR="00EF46C1" w:rsidRPr="00050DEF">
        <w:rPr>
          <w:rFonts w:ascii="Times New Roman" w:hAnsi="Times New Roman" w:cs="Times New Roman"/>
          <w:sz w:val="24"/>
          <w:szCs w:val="24"/>
          <w:lang w:val="en-GB"/>
        </w:rPr>
        <w:t xml:space="preserve"> with the public </w:t>
      </w:r>
      <w:r w:rsidR="000511C6" w:rsidRPr="00050DEF">
        <w:rPr>
          <w:rFonts w:ascii="Times New Roman" w:hAnsi="Times New Roman" w:cs="Times New Roman"/>
          <w:sz w:val="24"/>
          <w:szCs w:val="24"/>
          <w:lang w:val="en-GB"/>
        </w:rPr>
        <w:t xml:space="preserve">(health, moral, or security) </w:t>
      </w:r>
      <w:r w:rsidR="00EF46C1" w:rsidRPr="00050DEF">
        <w:rPr>
          <w:rFonts w:ascii="Times New Roman" w:hAnsi="Times New Roman" w:cs="Times New Roman"/>
          <w:sz w:val="24"/>
          <w:szCs w:val="24"/>
          <w:lang w:val="en-GB"/>
        </w:rPr>
        <w:t xml:space="preserve">interest (Binderkrantz </w:t>
      </w:r>
      <w:r w:rsidR="00EF46C1" w:rsidRPr="00050DEF">
        <w:rPr>
          <w:rFonts w:ascii="Times New Roman" w:hAnsi="Times New Roman" w:cs="Times New Roman"/>
          <w:iCs/>
          <w:sz w:val="24"/>
          <w:szCs w:val="24"/>
          <w:lang w:val="en-GB"/>
        </w:rPr>
        <w:t>et al.</w:t>
      </w:r>
      <w:r w:rsidR="00EF46C1" w:rsidRPr="00050DEF">
        <w:rPr>
          <w:rFonts w:ascii="Times New Roman" w:hAnsi="Times New Roman" w:cs="Times New Roman"/>
          <w:sz w:val="24"/>
          <w:szCs w:val="24"/>
          <w:lang w:val="en-GB"/>
        </w:rPr>
        <w:t xml:space="preserve"> 2015; Binderkrantz 201</w:t>
      </w:r>
      <w:r w:rsidR="00264CBD" w:rsidRPr="00050DEF">
        <w:rPr>
          <w:rFonts w:ascii="Times New Roman" w:hAnsi="Times New Roman" w:cs="Times New Roman"/>
          <w:sz w:val="24"/>
          <w:szCs w:val="24"/>
          <w:lang w:val="en-GB"/>
        </w:rPr>
        <w:t>9</w:t>
      </w:r>
      <w:r w:rsidR="00EF46C1" w:rsidRPr="00050DEF">
        <w:rPr>
          <w:rFonts w:ascii="Times New Roman" w:hAnsi="Times New Roman" w:cs="Times New Roman"/>
          <w:sz w:val="24"/>
          <w:szCs w:val="24"/>
          <w:lang w:val="en-GB"/>
        </w:rPr>
        <w:t xml:space="preserve">). </w:t>
      </w:r>
      <w:r w:rsidR="000511C6" w:rsidRPr="00050DEF">
        <w:rPr>
          <w:rFonts w:ascii="Times New Roman" w:hAnsi="Times New Roman" w:cs="Times New Roman"/>
          <w:sz w:val="24"/>
          <w:szCs w:val="24"/>
          <w:lang w:val="en-GB"/>
        </w:rPr>
        <w:t>Some business associations might be able to use a frame that aligns their private interests with the public interests</w:t>
      </w:r>
      <w:r w:rsidR="00B65E0F">
        <w:rPr>
          <w:rFonts w:ascii="Times New Roman" w:hAnsi="Times New Roman" w:cs="Times New Roman"/>
          <w:sz w:val="24"/>
          <w:szCs w:val="24"/>
          <w:lang w:val="en-GB"/>
        </w:rPr>
        <w:t>,</w:t>
      </w:r>
      <w:r w:rsidR="000511C6" w:rsidRPr="00050DEF">
        <w:rPr>
          <w:rFonts w:ascii="Times New Roman" w:hAnsi="Times New Roman" w:cs="Times New Roman"/>
          <w:sz w:val="24"/>
          <w:szCs w:val="24"/>
          <w:lang w:val="en-GB"/>
        </w:rPr>
        <w:t xml:space="preserve"> as when </w:t>
      </w:r>
      <w:r w:rsidR="00832576" w:rsidRPr="00050DEF">
        <w:rPr>
          <w:rFonts w:ascii="Times New Roman" w:hAnsi="Times New Roman" w:cs="Times New Roman"/>
          <w:sz w:val="24"/>
          <w:szCs w:val="24"/>
          <w:lang w:val="en-GB"/>
        </w:rPr>
        <w:t>a</w:t>
      </w:r>
      <w:r w:rsidR="000511C6" w:rsidRPr="00050DEF">
        <w:rPr>
          <w:rFonts w:ascii="Times New Roman" w:hAnsi="Times New Roman" w:cs="Times New Roman"/>
          <w:sz w:val="24"/>
          <w:szCs w:val="24"/>
          <w:lang w:val="en-GB"/>
        </w:rPr>
        <w:t xml:space="preserve"> banking union emphasi</w:t>
      </w:r>
      <w:r w:rsidR="00B65E0F">
        <w:rPr>
          <w:rFonts w:ascii="Times New Roman" w:hAnsi="Times New Roman" w:cs="Times New Roman"/>
          <w:sz w:val="24"/>
          <w:szCs w:val="24"/>
          <w:lang w:val="en-GB"/>
        </w:rPr>
        <w:t>s</w:t>
      </w:r>
      <w:r w:rsidR="000511C6" w:rsidRPr="00050DEF">
        <w:rPr>
          <w:rFonts w:ascii="Times New Roman" w:hAnsi="Times New Roman" w:cs="Times New Roman"/>
          <w:sz w:val="24"/>
          <w:szCs w:val="24"/>
          <w:lang w:val="en-GB"/>
        </w:rPr>
        <w:t xml:space="preserve">es the ramifications of stricter financial regulation for economic recovery (public interest) rather than </w:t>
      </w:r>
      <w:r w:rsidR="007612CB" w:rsidRPr="00050DEF">
        <w:rPr>
          <w:rFonts w:ascii="Times New Roman" w:hAnsi="Times New Roman" w:cs="Times New Roman"/>
          <w:sz w:val="24"/>
          <w:szCs w:val="24"/>
          <w:lang w:val="en-GB"/>
        </w:rPr>
        <w:t>the</w:t>
      </w:r>
      <w:r w:rsidR="000511C6" w:rsidRPr="00050DEF">
        <w:rPr>
          <w:rFonts w:ascii="Times New Roman" w:hAnsi="Times New Roman" w:cs="Times New Roman"/>
          <w:sz w:val="24"/>
          <w:szCs w:val="24"/>
          <w:lang w:val="en-GB"/>
        </w:rPr>
        <w:t xml:space="preserve"> detrimental effects on its profits (private interest</w:t>
      </w:r>
      <w:r w:rsidR="00B65E0F">
        <w:rPr>
          <w:rFonts w:ascii="Times New Roman" w:hAnsi="Times New Roman" w:cs="Times New Roman"/>
          <w:sz w:val="24"/>
          <w:szCs w:val="24"/>
          <w:lang w:val="en-GB"/>
        </w:rPr>
        <w:t>)</w:t>
      </w:r>
      <w:r w:rsidR="00134B34" w:rsidRPr="00050DEF">
        <w:rPr>
          <w:rFonts w:ascii="Times New Roman" w:hAnsi="Times New Roman" w:cs="Times New Roman"/>
          <w:sz w:val="24"/>
          <w:szCs w:val="24"/>
          <w:lang w:val="en-GB"/>
        </w:rPr>
        <w:t xml:space="preserve"> </w:t>
      </w:r>
      <w:r w:rsidR="00B65E0F">
        <w:rPr>
          <w:rFonts w:ascii="Times New Roman" w:hAnsi="Times New Roman" w:cs="Times New Roman"/>
          <w:sz w:val="24"/>
          <w:szCs w:val="24"/>
          <w:lang w:val="en-GB"/>
        </w:rPr>
        <w:t>(</w:t>
      </w:r>
      <w:r w:rsidR="00134B34" w:rsidRPr="00050DEF">
        <w:rPr>
          <w:rFonts w:ascii="Times New Roman" w:hAnsi="Times New Roman" w:cs="Times New Roman"/>
          <w:sz w:val="24"/>
          <w:szCs w:val="24"/>
          <w:lang w:val="en-GB"/>
        </w:rPr>
        <w:t>Binderkrantz 2019</w:t>
      </w:r>
      <w:r w:rsidR="00B858E5">
        <w:rPr>
          <w:rFonts w:ascii="Times New Roman" w:hAnsi="Times New Roman" w:cs="Times New Roman"/>
          <w:sz w:val="24"/>
          <w:szCs w:val="24"/>
          <w:lang w:val="en-GB"/>
        </w:rPr>
        <w:t>:</w:t>
      </w:r>
      <w:r w:rsidR="00134B34" w:rsidRPr="00050DEF">
        <w:rPr>
          <w:rFonts w:ascii="Times New Roman" w:hAnsi="Times New Roman" w:cs="Times New Roman"/>
          <w:sz w:val="24"/>
          <w:szCs w:val="24"/>
          <w:lang w:val="en-GB"/>
        </w:rPr>
        <w:t xml:space="preserve"> 1</w:t>
      </w:r>
      <w:r w:rsidR="000511C6" w:rsidRPr="00050DEF">
        <w:rPr>
          <w:rFonts w:ascii="Times New Roman" w:hAnsi="Times New Roman" w:cs="Times New Roman"/>
          <w:sz w:val="24"/>
          <w:szCs w:val="24"/>
          <w:lang w:val="en-GB"/>
        </w:rPr>
        <w:t xml:space="preserve">). </w:t>
      </w:r>
      <w:r w:rsidR="00826A6C" w:rsidRPr="00050DEF">
        <w:rPr>
          <w:rFonts w:ascii="Times New Roman" w:hAnsi="Times New Roman" w:cs="Times New Roman"/>
          <w:sz w:val="24"/>
          <w:szCs w:val="24"/>
          <w:lang w:val="en-GB"/>
        </w:rPr>
        <w:t>Yet, e</w:t>
      </w:r>
      <w:r w:rsidR="000511C6" w:rsidRPr="00050DEF">
        <w:rPr>
          <w:rFonts w:ascii="Times New Roman" w:hAnsi="Times New Roman" w:cs="Times New Roman"/>
          <w:sz w:val="24"/>
          <w:szCs w:val="24"/>
          <w:lang w:val="en-GB"/>
        </w:rPr>
        <w:t xml:space="preserve">specially for </w:t>
      </w:r>
      <w:r w:rsidR="00826A6C" w:rsidRPr="00050DEF">
        <w:rPr>
          <w:rFonts w:ascii="Times New Roman" w:hAnsi="Times New Roman" w:cs="Times New Roman"/>
          <w:sz w:val="24"/>
          <w:szCs w:val="24"/>
          <w:lang w:val="en-GB"/>
        </w:rPr>
        <w:t xml:space="preserve">a </w:t>
      </w:r>
      <w:r w:rsidR="000511C6" w:rsidRPr="00050DEF">
        <w:rPr>
          <w:rFonts w:ascii="Times New Roman" w:hAnsi="Times New Roman" w:cs="Times New Roman"/>
          <w:sz w:val="24"/>
          <w:szCs w:val="24"/>
          <w:lang w:val="en-GB"/>
        </w:rPr>
        <w:t>manufacture</w:t>
      </w:r>
      <w:r w:rsidR="00826A6C" w:rsidRPr="00050DEF">
        <w:rPr>
          <w:rFonts w:ascii="Times New Roman" w:hAnsi="Times New Roman" w:cs="Times New Roman"/>
          <w:sz w:val="24"/>
          <w:szCs w:val="24"/>
          <w:lang w:val="en-GB"/>
        </w:rPr>
        <w:t>r (</w:t>
      </w:r>
      <w:r w:rsidR="00832576" w:rsidRPr="00050DEF">
        <w:rPr>
          <w:rFonts w:ascii="Times New Roman" w:hAnsi="Times New Roman" w:cs="Times New Roman"/>
          <w:sz w:val="24"/>
          <w:szCs w:val="24"/>
          <w:lang w:val="en-GB"/>
        </w:rPr>
        <w:t xml:space="preserve">e.g., </w:t>
      </w:r>
      <w:r w:rsidR="00826A6C" w:rsidRPr="00050DEF">
        <w:rPr>
          <w:rFonts w:ascii="Times New Roman" w:hAnsi="Times New Roman" w:cs="Times New Roman"/>
          <w:sz w:val="24"/>
          <w:szCs w:val="24"/>
          <w:lang w:val="en-GB"/>
        </w:rPr>
        <w:t>of pesticides, nuclear energy, alcohol, cigarettes</w:t>
      </w:r>
      <w:r w:rsidR="00B65E0F">
        <w:rPr>
          <w:rFonts w:ascii="Times New Roman" w:hAnsi="Times New Roman" w:cs="Times New Roman"/>
          <w:sz w:val="24"/>
          <w:szCs w:val="24"/>
          <w:lang w:val="en-GB"/>
        </w:rPr>
        <w:t>)</w:t>
      </w:r>
      <w:r w:rsidR="00826A6C" w:rsidRPr="00050DEF">
        <w:rPr>
          <w:rFonts w:ascii="Times New Roman" w:hAnsi="Times New Roman" w:cs="Times New Roman"/>
          <w:sz w:val="24"/>
          <w:szCs w:val="24"/>
          <w:lang w:val="en-GB"/>
        </w:rPr>
        <w:t xml:space="preserve"> </w:t>
      </w:r>
      <w:r w:rsidR="00B65E0F">
        <w:rPr>
          <w:rFonts w:ascii="Times New Roman" w:hAnsi="Times New Roman" w:cs="Times New Roman"/>
          <w:sz w:val="24"/>
          <w:szCs w:val="24"/>
          <w:lang w:val="en-GB"/>
        </w:rPr>
        <w:t>(</w:t>
      </w:r>
      <w:r w:rsidR="00826A6C" w:rsidRPr="00050DEF">
        <w:rPr>
          <w:rFonts w:ascii="Times New Roman" w:hAnsi="Times New Roman" w:cs="Times New Roman"/>
          <w:sz w:val="24"/>
          <w:szCs w:val="24"/>
          <w:lang w:val="en-GB"/>
        </w:rPr>
        <w:t xml:space="preserve">Baumgartner and Jones </w:t>
      </w:r>
      <w:r w:rsidR="00FA1B48" w:rsidRPr="00050DEF">
        <w:rPr>
          <w:rFonts w:ascii="Times New Roman" w:hAnsi="Times New Roman" w:cs="Times New Roman"/>
          <w:sz w:val="24"/>
          <w:szCs w:val="24"/>
          <w:lang w:val="en-GB"/>
        </w:rPr>
        <w:t>1993</w:t>
      </w:r>
      <w:r w:rsidR="00826A6C" w:rsidRPr="00050DEF">
        <w:rPr>
          <w:rFonts w:ascii="Times New Roman" w:hAnsi="Times New Roman" w:cs="Times New Roman"/>
          <w:sz w:val="24"/>
          <w:szCs w:val="24"/>
          <w:lang w:val="en-GB"/>
        </w:rPr>
        <w:t>)</w:t>
      </w:r>
      <w:r w:rsidR="000511C6" w:rsidRPr="00050DEF">
        <w:rPr>
          <w:rFonts w:ascii="Times New Roman" w:hAnsi="Times New Roman" w:cs="Times New Roman"/>
          <w:sz w:val="24"/>
          <w:szCs w:val="24"/>
          <w:lang w:val="en-GB"/>
        </w:rPr>
        <w:t xml:space="preserve">, there is probably little space to orchestrate a (fake) correspondence between </w:t>
      </w:r>
      <w:r w:rsidR="00826A6C" w:rsidRPr="00050DEF">
        <w:rPr>
          <w:rFonts w:ascii="Times New Roman" w:hAnsi="Times New Roman" w:cs="Times New Roman"/>
          <w:sz w:val="24"/>
          <w:szCs w:val="24"/>
          <w:lang w:val="en-GB"/>
        </w:rPr>
        <w:t>its</w:t>
      </w:r>
      <w:r w:rsidR="000511C6" w:rsidRPr="00050DEF">
        <w:rPr>
          <w:rFonts w:ascii="Times New Roman" w:hAnsi="Times New Roman" w:cs="Times New Roman"/>
          <w:sz w:val="24"/>
          <w:szCs w:val="24"/>
          <w:lang w:val="en-GB"/>
        </w:rPr>
        <w:t xml:space="preserve"> private </w:t>
      </w:r>
      <w:r w:rsidR="00826A6C" w:rsidRPr="00050DEF">
        <w:rPr>
          <w:rFonts w:ascii="Times New Roman" w:hAnsi="Times New Roman" w:cs="Times New Roman"/>
          <w:sz w:val="24"/>
          <w:szCs w:val="24"/>
          <w:lang w:val="en-GB"/>
        </w:rPr>
        <w:t xml:space="preserve">interest </w:t>
      </w:r>
      <w:r w:rsidR="000511C6" w:rsidRPr="00050DEF">
        <w:rPr>
          <w:rFonts w:ascii="Times New Roman" w:hAnsi="Times New Roman" w:cs="Times New Roman"/>
          <w:sz w:val="24"/>
          <w:szCs w:val="24"/>
          <w:lang w:val="en-GB"/>
        </w:rPr>
        <w:t>and the public interest</w:t>
      </w:r>
      <w:r w:rsidR="00B65E0F">
        <w:rPr>
          <w:rFonts w:ascii="Times New Roman" w:hAnsi="Times New Roman" w:cs="Times New Roman"/>
          <w:sz w:val="24"/>
          <w:szCs w:val="24"/>
          <w:lang w:val="en-GB"/>
        </w:rPr>
        <w:t>,</w:t>
      </w:r>
      <w:r w:rsidR="00826A6C" w:rsidRPr="00050DEF">
        <w:rPr>
          <w:rFonts w:ascii="Times New Roman" w:hAnsi="Times New Roman" w:cs="Times New Roman"/>
          <w:sz w:val="24"/>
          <w:szCs w:val="24"/>
          <w:lang w:val="en-GB"/>
        </w:rPr>
        <w:t xml:space="preserve"> since its survival relies on a marke</w:t>
      </w:r>
      <w:r w:rsidR="00AF4ADB" w:rsidRPr="00050DEF">
        <w:rPr>
          <w:rFonts w:ascii="Times New Roman" w:hAnsi="Times New Roman" w:cs="Times New Roman"/>
          <w:sz w:val="24"/>
          <w:szCs w:val="24"/>
          <w:lang w:val="en-GB"/>
        </w:rPr>
        <w:t>t</w:t>
      </w:r>
      <w:r w:rsidR="00826A6C" w:rsidRPr="00050DEF">
        <w:rPr>
          <w:rFonts w:ascii="Times New Roman" w:hAnsi="Times New Roman" w:cs="Times New Roman"/>
          <w:sz w:val="24"/>
          <w:szCs w:val="24"/>
          <w:lang w:val="en-GB"/>
        </w:rPr>
        <w:t xml:space="preserve"> </w:t>
      </w:r>
      <w:r w:rsidR="00B65E0F">
        <w:rPr>
          <w:rFonts w:ascii="Times New Roman" w:hAnsi="Times New Roman" w:cs="Times New Roman"/>
          <w:sz w:val="24"/>
          <w:szCs w:val="24"/>
          <w:lang w:val="en-GB"/>
        </w:rPr>
        <w:t>that</w:t>
      </w:r>
      <w:r w:rsidR="00826A6C" w:rsidRPr="00050DEF">
        <w:rPr>
          <w:rFonts w:ascii="Times New Roman" w:hAnsi="Times New Roman" w:cs="Times New Roman"/>
          <w:sz w:val="24"/>
          <w:szCs w:val="24"/>
          <w:lang w:val="en-GB"/>
        </w:rPr>
        <w:t xml:space="preserve"> the </w:t>
      </w:r>
      <w:r w:rsidR="00832576" w:rsidRPr="00050DEF">
        <w:rPr>
          <w:rFonts w:ascii="Times New Roman" w:hAnsi="Times New Roman" w:cs="Times New Roman"/>
          <w:sz w:val="24"/>
          <w:szCs w:val="24"/>
          <w:lang w:val="en-GB"/>
        </w:rPr>
        <w:t>public interests</w:t>
      </w:r>
      <w:r w:rsidR="00826A6C" w:rsidRPr="00050DEF">
        <w:rPr>
          <w:rFonts w:ascii="Times New Roman" w:hAnsi="Times New Roman" w:cs="Times New Roman"/>
          <w:sz w:val="24"/>
          <w:szCs w:val="24"/>
          <w:lang w:val="en-GB"/>
        </w:rPr>
        <w:t xml:space="preserve"> invariably restrict</w:t>
      </w:r>
      <w:r w:rsidR="001F12F6" w:rsidRPr="00050DEF">
        <w:rPr>
          <w:rFonts w:ascii="Times New Roman" w:hAnsi="Times New Roman" w:cs="Times New Roman"/>
          <w:sz w:val="24"/>
          <w:szCs w:val="24"/>
          <w:lang w:val="en-GB"/>
        </w:rPr>
        <w:t xml:space="preserve"> (</w:t>
      </w:r>
      <w:r w:rsidR="0084698B">
        <w:rPr>
          <w:rFonts w:ascii="Times New Roman" w:hAnsi="Times New Roman" w:cs="Times New Roman"/>
          <w:sz w:val="24"/>
          <w:szCs w:val="24"/>
          <w:lang w:val="en-GB"/>
        </w:rPr>
        <w:t>D</w:t>
      </w:r>
      <w:r w:rsidR="00C01D00">
        <w:rPr>
          <w:rFonts w:ascii="Times New Roman" w:hAnsi="Times New Roman" w:cs="Times New Roman"/>
          <w:sz w:val="24"/>
          <w:szCs w:val="24"/>
          <w:lang w:val="en-GB"/>
        </w:rPr>
        <w:t xml:space="preserve">e </w:t>
      </w:r>
      <w:r w:rsidR="001F12F6" w:rsidRPr="00050DEF">
        <w:rPr>
          <w:rFonts w:ascii="Times New Roman" w:hAnsi="Times New Roman" w:cs="Times New Roman"/>
          <w:sz w:val="24"/>
          <w:szCs w:val="24"/>
          <w:lang w:val="en-GB"/>
        </w:rPr>
        <w:t>Bruycker 201</w:t>
      </w:r>
      <w:r w:rsidR="00832576" w:rsidRPr="00050DEF">
        <w:rPr>
          <w:rFonts w:ascii="Times New Roman" w:hAnsi="Times New Roman" w:cs="Times New Roman"/>
          <w:sz w:val="24"/>
          <w:szCs w:val="24"/>
          <w:lang w:val="en-GB"/>
        </w:rPr>
        <w:t>9</w:t>
      </w:r>
      <w:r w:rsidR="001F12F6" w:rsidRPr="00050DEF">
        <w:rPr>
          <w:rFonts w:ascii="Times New Roman" w:hAnsi="Times New Roman" w:cs="Times New Roman"/>
          <w:sz w:val="24"/>
          <w:szCs w:val="24"/>
          <w:lang w:val="en-GB"/>
        </w:rPr>
        <w:t>)</w:t>
      </w:r>
      <w:r w:rsidR="00826A6C" w:rsidRPr="00050DEF">
        <w:rPr>
          <w:rFonts w:ascii="Times New Roman" w:hAnsi="Times New Roman" w:cs="Times New Roman"/>
          <w:sz w:val="24"/>
          <w:szCs w:val="24"/>
          <w:lang w:val="en-GB"/>
        </w:rPr>
        <w:t xml:space="preserve">. </w:t>
      </w:r>
      <w:r w:rsidR="00832576" w:rsidRPr="00050DEF">
        <w:rPr>
          <w:rFonts w:ascii="Times New Roman" w:hAnsi="Times New Roman" w:cs="Times New Roman"/>
          <w:sz w:val="24"/>
          <w:szCs w:val="24"/>
          <w:lang w:val="en-GB"/>
        </w:rPr>
        <w:t xml:space="preserve">It is hard to make the case that stricter regulation of alcohol consumption somehow negatively affects the public interest. </w:t>
      </w:r>
    </w:p>
    <w:p w14:paraId="7B9B5586" w14:textId="2282116F" w:rsidR="002F1650" w:rsidRPr="00050DEF" w:rsidRDefault="005E7D06"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This order of response obviously depends on how misaligned and hegemonic the turn in the macro-frame is. </w:t>
      </w:r>
      <w:r w:rsidR="004844E0" w:rsidRPr="00050DEF">
        <w:rPr>
          <w:rFonts w:ascii="Times New Roman" w:hAnsi="Times New Roman" w:cs="Times New Roman"/>
          <w:sz w:val="24"/>
          <w:szCs w:val="24"/>
          <w:lang w:val="en-GB"/>
        </w:rPr>
        <w:t xml:space="preserve">Our tentative expectations build on the premise that the macro-frame is very misaligned and very hegemonic. </w:t>
      </w:r>
      <w:r w:rsidR="00B65E0F">
        <w:rPr>
          <w:rFonts w:ascii="Times New Roman" w:hAnsi="Times New Roman" w:cs="Times New Roman"/>
          <w:sz w:val="24"/>
          <w:szCs w:val="24"/>
          <w:lang w:val="en-GB"/>
        </w:rPr>
        <w:t>However,</w:t>
      </w:r>
      <w:r w:rsidR="004844E0" w:rsidRPr="00050DEF">
        <w:rPr>
          <w:rFonts w:ascii="Times New Roman" w:hAnsi="Times New Roman" w:cs="Times New Roman"/>
          <w:sz w:val="24"/>
          <w:szCs w:val="24"/>
          <w:lang w:val="en-GB"/>
        </w:rPr>
        <w:t xml:space="preserve"> it does not have to be. I</w:t>
      </w:r>
      <w:r w:rsidR="004B0667" w:rsidRPr="00050DEF">
        <w:rPr>
          <w:rFonts w:ascii="Times New Roman" w:hAnsi="Times New Roman" w:cs="Times New Roman"/>
          <w:sz w:val="24"/>
          <w:szCs w:val="24"/>
          <w:lang w:val="en-GB"/>
        </w:rPr>
        <w:t xml:space="preserve">f the macro-frame </w:t>
      </w:r>
      <w:r w:rsidR="00B65E0F">
        <w:rPr>
          <w:rFonts w:ascii="Times New Roman" w:hAnsi="Times New Roman" w:cs="Times New Roman"/>
          <w:sz w:val="24"/>
          <w:szCs w:val="24"/>
          <w:lang w:val="en-GB"/>
        </w:rPr>
        <w:t xml:space="preserve">is </w:t>
      </w:r>
      <w:r w:rsidR="004B0667" w:rsidRPr="00050DEF">
        <w:rPr>
          <w:rFonts w:ascii="Times New Roman" w:hAnsi="Times New Roman" w:cs="Times New Roman"/>
          <w:sz w:val="24"/>
          <w:szCs w:val="24"/>
          <w:lang w:val="en-GB"/>
        </w:rPr>
        <w:t xml:space="preserve">either less misaligned or less hegemonic, avoidance and rejection become more </w:t>
      </w:r>
      <w:r w:rsidR="00D42C25" w:rsidRPr="00050DEF">
        <w:rPr>
          <w:rFonts w:ascii="Times New Roman" w:hAnsi="Times New Roman" w:cs="Times New Roman"/>
          <w:sz w:val="24"/>
          <w:szCs w:val="24"/>
          <w:lang w:val="en-GB"/>
        </w:rPr>
        <w:t>realistic</w:t>
      </w:r>
      <w:r w:rsidR="004B0667" w:rsidRPr="00050DEF">
        <w:rPr>
          <w:rFonts w:ascii="Times New Roman" w:hAnsi="Times New Roman" w:cs="Times New Roman"/>
          <w:sz w:val="24"/>
          <w:szCs w:val="24"/>
          <w:lang w:val="en-GB"/>
        </w:rPr>
        <w:t xml:space="preserve">. </w:t>
      </w:r>
      <w:r w:rsidR="00047FC7" w:rsidRPr="00050DEF">
        <w:rPr>
          <w:rFonts w:ascii="Times New Roman" w:hAnsi="Times New Roman" w:cs="Times New Roman"/>
          <w:sz w:val="24"/>
          <w:szCs w:val="24"/>
          <w:lang w:val="en-GB"/>
        </w:rPr>
        <w:t xml:space="preserve">Both strategies, but perhaps especially rejection, have the potential of changing the macro-frame to the benefit of the interest group in question. </w:t>
      </w:r>
      <w:r w:rsidR="005F00F0" w:rsidRPr="00050DEF">
        <w:rPr>
          <w:rFonts w:ascii="Times New Roman" w:hAnsi="Times New Roman" w:cs="Times New Roman"/>
          <w:sz w:val="24"/>
          <w:szCs w:val="24"/>
          <w:lang w:val="en-GB"/>
        </w:rPr>
        <w:t xml:space="preserve">Finally, if </w:t>
      </w:r>
      <w:r w:rsidR="002E4272" w:rsidRPr="00050DEF">
        <w:rPr>
          <w:rFonts w:ascii="Times New Roman" w:hAnsi="Times New Roman" w:cs="Times New Roman"/>
          <w:sz w:val="24"/>
          <w:szCs w:val="24"/>
          <w:lang w:val="en-GB"/>
        </w:rPr>
        <w:t>the macro-frame is hegemonic, bu</w:t>
      </w:r>
      <w:r w:rsidR="005F00F0" w:rsidRPr="00050DEF">
        <w:rPr>
          <w:rFonts w:ascii="Times New Roman" w:hAnsi="Times New Roman" w:cs="Times New Roman"/>
          <w:sz w:val="24"/>
          <w:szCs w:val="24"/>
          <w:lang w:val="en-GB"/>
        </w:rPr>
        <w:t xml:space="preserve">t not </w:t>
      </w:r>
      <w:r w:rsidR="00D42C25" w:rsidRPr="00050DEF">
        <w:rPr>
          <w:rFonts w:ascii="Times New Roman" w:hAnsi="Times New Roman" w:cs="Times New Roman"/>
          <w:sz w:val="24"/>
          <w:szCs w:val="24"/>
          <w:lang w:val="en-GB"/>
        </w:rPr>
        <w:t xml:space="preserve">particularly </w:t>
      </w:r>
      <w:r w:rsidR="005F00F0" w:rsidRPr="00050DEF">
        <w:rPr>
          <w:rFonts w:ascii="Times New Roman" w:hAnsi="Times New Roman" w:cs="Times New Roman"/>
          <w:sz w:val="24"/>
          <w:szCs w:val="24"/>
          <w:lang w:val="en-GB"/>
        </w:rPr>
        <w:t>misaligned, it may be mo</w:t>
      </w:r>
      <w:r w:rsidR="00B65E0F">
        <w:rPr>
          <w:rFonts w:ascii="Times New Roman" w:hAnsi="Times New Roman" w:cs="Times New Roman"/>
          <w:sz w:val="24"/>
          <w:szCs w:val="24"/>
          <w:lang w:val="en-GB"/>
        </w:rPr>
        <w:t>re</w:t>
      </w:r>
      <w:r w:rsidR="005F00F0" w:rsidRPr="00050DEF">
        <w:rPr>
          <w:rFonts w:ascii="Times New Roman" w:hAnsi="Times New Roman" w:cs="Times New Roman"/>
          <w:sz w:val="24"/>
          <w:szCs w:val="24"/>
          <w:lang w:val="en-GB"/>
        </w:rPr>
        <w:t xml:space="preserve"> rational to simply accept the macro-frame as it is because it does not deviate too much from what the interest group wanted in the first place</w:t>
      </w:r>
      <w:r w:rsidR="00D42C25" w:rsidRPr="00050DEF">
        <w:rPr>
          <w:rFonts w:ascii="Times New Roman" w:hAnsi="Times New Roman" w:cs="Times New Roman"/>
          <w:sz w:val="24"/>
          <w:szCs w:val="24"/>
          <w:lang w:val="en-GB"/>
        </w:rPr>
        <w:t xml:space="preserve"> and </w:t>
      </w:r>
      <w:r w:rsidR="002E4272" w:rsidRPr="00050DEF">
        <w:rPr>
          <w:rFonts w:ascii="Times New Roman" w:hAnsi="Times New Roman" w:cs="Times New Roman"/>
          <w:sz w:val="24"/>
          <w:szCs w:val="24"/>
          <w:lang w:val="en-GB"/>
        </w:rPr>
        <w:t xml:space="preserve">because </w:t>
      </w:r>
      <w:r w:rsidR="00D42C25" w:rsidRPr="00050DEF">
        <w:rPr>
          <w:rFonts w:ascii="Times New Roman" w:hAnsi="Times New Roman" w:cs="Times New Roman"/>
          <w:sz w:val="24"/>
          <w:szCs w:val="24"/>
          <w:lang w:val="en-GB"/>
        </w:rPr>
        <w:t>change will be so hard to accompli</w:t>
      </w:r>
      <w:r w:rsidR="008F1805" w:rsidRPr="00050DEF">
        <w:rPr>
          <w:rFonts w:ascii="Times New Roman" w:hAnsi="Times New Roman" w:cs="Times New Roman"/>
          <w:sz w:val="24"/>
          <w:szCs w:val="24"/>
          <w:lang w:val="en-GB"/>
        </w:rPr>
        <w:t>sh</w:t>
      </w:r>
      <w:r w:rsidR="005F00F0" w:rsidRPr="00050DEF">
        <w:rPr>
          <w:rFonts w:ascii="Times New Roman" w:hAnsi="Times New Roman" w:cs="Times New Roman"/>
          <w:sz w:val="24"/>
          <w:szCs w:val="24"/>
          <w:lang w:val="en-GB"/>
        </w:rPr>
        <w:t xml:space="preserve">. </w:t>
      </w:r>
    </w:p>
    <w:p w14:paraId="112CDDAF" w14:textId="77777777" w:rsidR="008030C4" w:rsidRPr="00050DEF" w:rsidRDefault="008030C4" w:rsidP="00633FCF">
      <w:pPr>
        <w:spacing w:after="0" w:line="480" w:lineRule="auto"/>
        <w:rPr>
          <w:rFonts w:ascii="Times New Roman" w:hAnsi="Times New Roman" w:cs="Times New Roman"/>
          <w:sz w:val="24"/>
          <w:szCs w:val="24"/>
          <w:lang w:val="en-GB"/>
        </w:rPr>
      </w:pPr>
    </w:p>
    <w:p w14:paraId="01413A8D" w14:textId="77777777" w:rsidR="00633FCF" w:rsidRPr="00050DEF" w:rsidRDefault="00633FCF" w:rsidP="00633FCF">
      <w:pPr>
        <w:spacing w:after="0" w:line="480" w:lineRule="auto"/>
        <w:rPr>
          <w:rFonts w:ascii="Times New Roman" w:hAnsi="Times New Roman" w:cs="Times New Roman"/>
          <w:b/>
          <w:sz w:val="24"/>
          <w:szCs w:val="24"/>
          <w:lang w:val="en-GB"/>
        </w:rPr>
      </w:pPr>
      <w:r w:rsidRPr="00050DEF">
        <w:rPr>
          <w:rFonts w:ascii="Times New Roman" w:hAnsi="Times New Roman" w:cs="Times New Roman"/>
          <w:b/>
          <w:sz w:val="24"/>
          <w:szCs w:val="24"/>
          <w:lang w:val="en-GB"/>
        </w:rPr>
        <w:lastRenderedPageBreak/>
        <w:t>Research Design</w:t>
      </w:r>
    </w:p>
    <w:p w14:paraId="3E6FDAA3" w14:textId="1290195D" w:rsidR="004F4535" w:rsidRPr="00050DEF" w:rsidRDefault="008F1805" w:rsidP="004F4535">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To test the use of the micro-frame typology in relation to a macro-frame, o</w:t>
      </w:r>
      <w:r w:rsidR="00DC128C" w:rsidRPr="00050DEF">
        <w:rPr>
          <w:rFonts w:ascii="Times New Roman" w:hAnsi="Times New Roman" w:cs="Times New Roman"/>
          <w:sz w:val="24"/>
          <w:szCs w:val="24"/>
          <w:lang w:val="en-GB"/>
        </w:rPr>
        <w:t xml:space="preserve">ur research design needs to meet three conditions to be successful. </w:t>
      </w:r>
      <w:r w:rsidR="00633FCF" w:rsidRPr="00050DEF">
        <w:rPr>
          <w:rFonts w:ascii="Times New Roman" w:hAnsi="Times New Roman" w:cs="Times New Roman"/>
          <w:sz w:val="24"/>
          <w:szCs w:val="24"/>
          <w:lang w:val="en-GB"/>
        </w:rPr>
        <w:t>A first requirement is to maximi</w:t>
      </w:r>
      <w:r w:rsidR="00F5364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e variation on the macro-frame</w:t>
      </w:r>
      <w:r w:rsidR="00254E6C" w:rsidRPr="00050DEF">
        <w:rPr>
          <w:rFonts w:ascii="Times New Roman" w:hAnsi="Times New Roman" w:cs="Times New Roman"/>
          <w:sz w:val="24"/>
          <w:szCs w:val="24"/>
          <w:lang w:val="en-GB"/>
        </w:rPr>
        <w:t>. Ideally</w:t>
      </w:r>
      <w:r w:rsidR="004F4535" w:rsidRPr="00050DEF">
        <w:rPr>
          <w:rFonts w:ascii="Times New Roman" w:hAnsi="Times New Roman" w:cs="Times New Roman"/>
          <w:sz w:val="24"/>
          <w:szCs w:val="24"/>
          <w:lang w:val="en-GB"/>
        </w:rPr>
        <w:t>,</w:t>
      </w:r>
      <w:r w:rsidR="00DE7FB4" w:rsidRPr="00050DEF">
        <w:rPr>
          <w:rFonts w:ascii="Times New Roman" w:hAnsi="Times New Roman" w:cs="Times New Roman"/>
          <w:sz w:val="24"/>
          <w:szCs w:val="24"/>
          <w:lang w:val="en-GB"/>
        </w:rPr>
        <w:t xml:space="preserve"> the macro-frame</w:t>
      </w:r>
      <w:r w:rsidR="00254E6C" w:rsidRPr="00050DEF">
        <w:rPr>
          <w:rFonts w:ascii="Times New Roman" w:hAnsi="Times New Roman" w:cs="Times New Roman"/>
          <w:sz w:val="24"/>
          <w:szCs w:val="24"/>
          <w:lang w:val="en-GB"/>
        </w:rPr>
        <w:t xml:space="preserve"> has to shift from being relatively well-aligned with the goals of the interest group</w:t>
      </w:r>
      <w:r w:rsidR="008B099A" w:rsidRPr="00050DEF">
        <w:rPr>
          <w:rFonts w:ascii="Times New Roman" w:hAnsi="Times New Roman" w:cs="Times New Roman"/>
          <w:sz w:val="24"/>
          <w:szCs w:val="24"/>
          <w:lang w:val="en-GB"/>
        </w:rPr>
        <w:t xml:space="preserve"> (i.e.</w:t>
      </w:r>
      <w:r w:rsidR="00F5364F">
        <w:rPr>
          <w:rFonts w:ascii="Times New Roman" w:hAnsi="Times New Roman" w:cs="Times New Roman"/>
          <w:sz w:val="24"/>
          <w:szCs w:val="24"/>
          <w:lang w:val="en-GB"/>
        </w:rPr>
        <w:t>,</w:t>
      </w:r>
      <w:r w:rsidR="008B099A" w:rsidRPr="00050DEF">
        <w:rPr>
          <w:rFonts w:ascii="Times New Roman" w:hAnsi="Times New Roman" w:cs="Times New Roman"/>
          <w:sz w:val="24"/>
          <w:szCs w:val="24"/>
          <w:lang w:val="en-GB"/>
        </w:rPr>
        <w:t xml:space="preserve"> to highlight the economic interests in alcohol</w:t>
      </w:r>
      <w:r w:rsidR="00F5364F">
        <w:rPr>
          <w:rFonts w:ascii="Times New Roman" w:hAnsi="Times New Roman" w:cs="Times New Roman"/>
          <w:sz w:val="24"/>
          <w:szCs w:val="24"/>
          <w:lang w:val="en-GB"/>
        </w:rPr>
        <w:t xml:space="preserve"> </w:t>
      </w:r>
      <w:r w:rsidR="008B099A" w:rsidRPr="00050DEF">
        <w:rPr>
          <w:rFonts w:ascii="Times New Roman" w:hAnsi="Times New Roman" w:cs="Times New Roman"/>
          <w:sz w:val="24"/>
          <w:szCs w:val="24"/>
          <w:lang w:val="en-GB"/>
        </w:rPr>
        <w:t>production that directly align with the private, member-based interest of the interest group)</w:t>
      </w:r>
      <w:r w:rsidR="00254E6C" w:rsidRPr="00050DEF">
        <w:rPr>
          <w:rFonts w:ascii="Times New Roman" w:hAnsi="Times New Roman" w:cs="Times New Roman"/>
          <w:sz w:val="24"/>
          <w:szCs w:val="24"/>
          <w:lang w:val="en-GB"/>
        </w:rPr>
        <w:t xml:space="preserve"> to </w:t>
      </w:r>
      <w:r w:rsidR="004F4535" w:rsidRPr="00050DEF">
        <w:rPr>
          <w:rFonts w:ascii="Times New Roman" w:hAnsi="Times New Roman" w:cs="Times New Roman"/>
          <w:sz w:val="24"/>
          <w:szCs w:val="24"/>
          <w:lang w:val="en-GB"/>
        </w:rPr>
        <w:t xml:space="preserve">clearly </w:t>
      </w:r>
      <w:r w:rsidR="00254E6C" w:rsidRPr="00050DEF">
        <w:rPr>
          <w:rFonts w:ascii="Times New Roman" w:hAnsi="Times New Roman" w:cs="Times New Roman"/>
          <w:sz w:val="24"/>
          <w:szCs w:val="24"/>
          <w:lang w:val="en-GB"/>
        </w:rPr>
        <w:t>misaligned and hegemonic</w:t>
      </w:r>
      <w:r w:rsidR="007D6D3A" w:rsidRPr="00050DEF">
        <w:rPr>
          <w:rFonts w:ascii="Times New Roman" w:hAnsi="Times New Roman" w:cs="Times New Roman"/>
          <w:sz w:val="24"/>
          <w:szCs w:val="24"/>
          <w:lang w:val="en-GB"/>
        </w:rPr>
        <w:t xml:space="preserve"> (by emphasi</w:t>
      </w:r>
      <w:r w:rsidR="00F5364F">
        <w:rPr>
          <w:rFonts w:ascii="Times New Roman" w:hAnsi="Times New Roman" w:cs="Times New Roman"/>
          <w:sz w:val="24"/>
          <w:szCs w:val="24"/>
          <w:lang w:val="en-GB"/>
        </w:rPr>
        <w:t>s</w:t>
      </w:r>
      <w:r w:rsidR="007D6D3A" w:rsidRPr="00050DEF">
        <w:rPr>
          <w:rFonts w:ascii="Times New Roman" w:hAnsi="Times New Roman" w:cs="Times New Roman"/>
          <w:sz w:val="24"/>
          <w:szCs w:val="24"/>
          <w:lang w:val="en-GB"/>
        </w:rPr>
        <w:t xml:space="preserve">ing the social, health, </w:t>
      </w:r>
      <w:r w:rsidR="00F5364F">
        <w:rPr>
          <w:rFonts w:ascii="Times New Roman" w:hAnsi="Times New Roman" w:cs="Times New Roman"/>
          <w:sz w:val="24"/>
          <w:szCs w:val="24"/>
          <w:lang w:val="en-GB"/>
        </w:rPr>
        <w:t xml:space="preserve">and </w:t>
      </w:r>
      <w:r w:rsidR="007D6D3A" w:rsidRPr="00050DEF">
        <w:rPr>
          <w:rFonts w:ascii="Times New Roman" w:hAnsi="Times New Roman" w:cs="Times New Roman"/>
          <w:sz w:val="24"/>
          <w:szCs w:val="24"/>
          <w:lang w:val="en-GB"/>
        </w:rPr>
        <w:t>moral hazards of alcohol consumption corresponding to the public health)</w:t>
      </w:r>
      <w:r w:rsidR="00633FCF" w:rsidRPr="00050DEF">
        <w:rPr>
          <w:rFonts w:ascii="Times New Roman" w:hAnsi="Times New Roman" w:cs="Times New Roman"/>
          <w:sz w:val="24"/>
          <w:szCs w:val="24"/>
          <w:lang w:val="en-GB"/>
        </w:rPr>
        <w:t xml:space="preserve">. </w:t>
      </w:r>
      <w:r w:rsidR="004F4535" w:rsidRPr="00050DEF">
        <w:rPr>
          <w:rFonts w:ascii="Times New Roman" w:hAnsi="Times New Roman" w:cs="Times New Roman"/>
          <w:sz w:val="24"/>
          <w:szCs w:val="24"/>
          <w:lang w:val="en-GB"/>
        </w:rPr>
        <w:t>Maximi</w:t>
      </w:r>
      <w:r w:rsidR="00F5364F">
        <w:rPr>
          <w:rFonts w:ascii="Times New Roman" w:hAnsi="Times New Roman" w:cs="Times New Roman"/>
          <w:sz w:val="24"/>
          <w:szCs w:val="24"/>
          <w:lang w:val="en-GB"/>
        </w:rPr>
        <w:t>s</w:t>
      </w:r>
      <w:r w:rsidR="004F4535" w:rsidRPr="00050DEF">
        <w:rPr>
          <w:rFonts w:ascii="Times New Roman" w:hAnsi="Times New Roman" w:cs="Times New Roman"/>
          <w:sz w:val="24"/>
          <w:szCs w:val="24"/>
          <w:lang w:val="en-GB"/>
        </w:rPr>
        <w:t>ing the variation on the independent variable like this maximizes the opportunity to see the full variation on the dependent variable. As pointed</w:t>
      </w:r>
      <w:r w:rsidR="00F5364F">
        <w:rPr>
          <w:rFonts w:ascii="Times New Roman" w:hAnsi="Times New Roman" w:cs="Times New Roman"/>
          <w:sz w:val="24"/>
          <w:szCs w:val="24"/>
          <w:lang w:val="en-GB"/>
        </w:rPr>
        <w:t xml:space="preserve"> </w:t>
      </w:r>
      <w:r w:rsidR="004F4535" w:rsidRPr="00050DEF">
        <w:rPr>
          <w:rFonts w:ascii="Times New Roman" w:hAnsi="Times New Roman" w:cs="Times New Roman"/>
          <w:sz w:val="24"/>
          <w:szCs w:val="24"/>
          <w:lang w:val="en-GB"/>
        </w:rPr>
        <w:t>out by</w:t>
      </w:r>
      <w:r w:rsidR="00C66985" w:rsidRPr="00050DEF">
        <w:rPr>
          <w:rFonts w:ascii="Times New Roman" w:hAnsi="Times New Roman" w:cs="Times New Roman"/>
          <w:sz w:val="24"/>
          <w:szCs w:val="24"/>
          <w:lang w:val="en-GB"/>
        </w:rPr>
        <w:t xml:space="preserve"> King</w:t>
      </w:r>
      <w:r w:rsidR="003D5F7A" w:rsidRPr="00050DEF">
        <w:rPr>
          <w:rFonts w:ascii="Times New Roman" w:hAnsi="Times New Roman" w:cs="Times New Roman"/>
          <w:sz w:val="24"/>
          <w:szCs w:val="24"/>
          <w:lang w:val="en-GB"/>
        </w:rPr>
        <w:t xml:space="preserve"> et al.</w:t>
      </w:r>
      <w:r w:rsidR="00C66985" w:rsidRPr="00050DEF">
        <w:rPr>
          <w:rFonts w:ascii="Times New Roman" w:hAnsi="Times New Roman" w:cs="Times New Roman"/>
          <w:sz w:val="24"/>
          <w:szCs w:val="24"/>
          <w:lang w:val="en-GB"/>
        </w:rPr>
        <w:t xml:space="preserve"> </w:t>
      </w:r>
      <w:r w:rsidR="007964F1" w:rsidRPr="00050DEF">
        <w:rPr>
          <w:rFonts w:ascii="Times New Roman" w:hAnsi="Times New Roman" w:cs="Times New Roman"/>
          <w:sz w:val="24"/>
          <w:szCs w:val="24"/>
          <w:lang w:val="en-GB"/>
        </w:rPr>
        <w:t>(1994: 130)</w:t>
      </w:r>
      <w:r w:rsidR="004F4535" w:rsidRPr="00050DEF">
        <w:rPr>
          <w:rFonts w:ascii="Times New Roman" w:hAnsi="Times New Roman" w:cs="Times New Roman"/>
          <w:sz w:val="24"/>
          <w:szCs w:val="24"/>
          <w:lang w:val="en-GB"/>
        </w:rPr>
        <w:t xml:space="preserve">, this is the appropriate case selection criteria when exploring a new argument such as ours. </w:t>
      </w:r>
    </w:p>
    <w:p w14:paraId="64236785" w14:textId="169A2402"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The second requirement is a valid measuremen</w:t>
      </w:r>
      <w:r w:rsidR="00DE7FB4" w:rsidRPr="00050DEF">
        <w:rPr>
          <w:rFonts w:ascii="Times New Roman" w:hAnsi="Times New Roman" w:cs="Times New Roman"/>
          <w:sz w:val="24"/>
          <w:szCs w:val="24"/>
          <w:lang w:val="en-GB"/>
        </w:rPr>
        <w:t>t of the micro-frame. T</w:t>
      </w:r>
      <w:r w:rsidRPr="00050DEF">
        <w:rPr>
          <w:rFonts w:ascii="Times New Roman" w:hAnsi="Times New Roman" w:cs="Times New Roman"/>
          <w:sz w:val="24"/>
          <w:szCs w:val="24"/>
          <w:lang w:val="en-GB"/>
        </w:rPr>
        <w:t xml:space="preserve">o </w:t>
      </w:r>
      <w:r w:rsidR="00DE7FB4" w:rsidRPr="00050DEF">
        <w:rPr>
          <w:rFonts w:ascii="Times New Roman" w:hAnsi="Times New Roman" w:cs="Times New Roman"/>
          <w:sz w:val="24"/>
          <w:szCs w:val="24"/>
          <w:lang w:val="en-GB"/>
        </w:rPr>
        <w:t>gauge</w:t>
      </w:r>
      <w:r w:rsidRPr="00050DEF">
        <w:rPr>
          <w:rFonts w:ascii="Times New Roman" w:hAnsi="Times New Roman" w:cs="Times New Roman"/>
          <w:sz w:val="24"/>
          <w:szCs w:val="24"/>
          <w:lang w:val="en-GB"/>
        </w:rPr>
        <w:t xml:space="preserve"> the true interest group response to the change in the macro-frame, it is necessary to have an </w:t>
      </w:r>
      <w:r w:rsidR="00DE7FB4" w:rsidRPr="00050DEF">
        <w:rPr>
          <w:rFonts w:ascii="Times New Roman" w:hAnsi="Times New Roman" w:cs="Times New Roman"/>
          <w:sz w:val="24"/>
          <w:szCs w:val="24"/>
          <w:lang w:val="en-GB"/>
        </w:rPr>
        <w:t xml:space="preserve">unmediated indicator on the communicative </w:t>
      </w:r>
      <w:r w:rsidR="00DE7FB4" w:rsidRPr="00050DEF">
        <w:rPr>
          <w:rFonts w:ascii="Times New Roman" w:hAnsi="Times New Roman" w:cs="Times New Roman"/>
          <w:i/>
          <w:sz w:val="24"/>
          <w:szCs w:val="24"/>
          <w:lang w:val="en-GB"/>
        </w:rPr>
        <w:t xml:space="preserve">intent </w:t>
      </w:r>
      <w:r w:rsidRPr="00050DEF">
        <w:rPr>
          <w:rFonts w:ascii="Times New Roman" w:hAnsi="Times New Roman" w:cs="Times New Roman"/>
          <w:sz w:val="24"/>
          <w:szCs w:val="24"/>
          <w:lang w:val="en-GB"/>
        </w:rPr>
        <w:t>of the interest group. T</w:t>
      </w:r>
      <w:r w:rsidR="00DE7FB4" w:rsidRPr="00050DEF">
        <w:rPr>
          <w:rFonts w:ascii="Times New Roman" w:hAnsi="Times New Roman" w:cs="Times New Roman"/>
          <w:sz w:val="24"/>
          <w:szCs w:val="24"/>
          <w:lang w:val="en-GB"/>
        </w:rPr>
        <w:t>his is no easy task as it</w:t>
      </w:r>
      <w:r w:rsidRPr="00050DEF">
        <w:rPr>
          <w:rFonts w:ascii="Times New Roman" w:hAnsi="Times New Roman" w:cs="Times New Roman"/>
          <w:sz w:val="24"/>
          <w:szCs w:val="24"/>
          <w:lang w:val="en-GB"/>
        </w:rPr>
        <w:t xml:space="preserve"> rules out the mass media as a source</w:t>
      </w:r>
      <w:r w:rsidR="00DE7FB4" w:rsidRPr="00050DEF">
        <w:rPr>
          <w:rFonts w:ascii="Times New Roman" w:hAnsi="Times New Roman" w:cs="Times New Roman"/>
          <w:sz w:val="24"/>
          <w:szCs w:val="24"/>
          <w:lang w:val="en-GB"/>
        </w:rPr>
        <w:t>. The mass media</w:t>
      </w:r>
      <w:r w:rsidRPr="00050DEF">
        <w:rPr>
          <w:rFonts w:ascii="Times New Roman" w:hAnsi="Times New Roman" w:cs="Times New Roman"/>
          <w:sz w:val="24"/>
          <w:szCs w:val="24"/>
          <w:lang w:val="en-GB"/>
        </w:rPr>
        <w:t xml:space="preserve"> </w:t>
      </w:r>
      <w:r w:rsidR="00DE7FB4" w:rsidRPr="00050DEF">
        <w:rPr>
          <w:rFonts w:ascii="Times New Roman" w:hAnsi="Times New Roman" w:cs="Times New Roman"/>
          <w:sz w:val="24"/>
          <w:szCs w:val="24"/>
          <w:lang w:val="en-GB"/>
        </w:rPr>
        <w:t>normally aim to include multiple sources with conflicting viewpoints. Incidentally, this is why t</w:t>
      </w:r>
      <w:r w:rsidRPr="00050DEF">
        <w:rPr>
          <w:rFonts w:ascii="Times New Roman" w:hAnsi="Times New Roman" w:cs="Times New Roman"/>
          <w:sz w:val="24"/>
          <w:szCs w:val="24"/>
          <w:lang w:val="en-GB"/>
        </w:rPr>
        <w:t xml:space="preserve">he dominant frame in the mass media </w:t>
      </w:r>
      <w:r w:rsidR="00F5364F">
        <w:rPr>
          <w:rFonts w:ascii="Times New Roman" w:hAnsi="Times New Roman" w:cs="Times New Roman"/>
          <w:sz w:val="24"/>
          <w:szCs w:val="24"/>
          <w:lang w:val="en-GB"/>
        </w:rPr>
        <w:t xml:space="preserve">is </w:t>
      </w:r>
      <w:r w:rsidRPr="00050DEF">
        <w:rPr>
          <w:rFonts w:ascii="Times New Roman" w:hAnsi="Times New Roman" w:cs="Times New Roman"/>
          <w:sz w:val="24"/>
          <w:szCs w:val="24"/>
          <w:lang w:val="en-GB"/>
        </w:rPr>
        <w:t>typically</w:t>
      </w:r>
      <w:r w:rsidR="00DE7FB4"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regarded as a good proxy of the macro-frame exactly because it captures the modal frame on an area (Baumgartner and Jones 1993: </w:t>
      </w:r>
      <w:r w:rsidR="00987F79" w:rsidRPr="00050DEF">
        <w:rPr>
          <w:rFonts w:ascii="Times New Roman" w:hAnsi="Times New Roman" w:cs="Times New Roman"/>
          <w:sz w:val="24"/>
          <w:szCs w:val="24"/>
          <w:lang w:val="en-GB"/>
        </w:rPr>
        <w:t>50</w:t>
      </w:r>
      <w:r w:rsidR="009C7118" w:rsidRPr="00050DEF">
        <w:rPr>
          <w:rFonts w:ascii="Times New Roman" w:hAnsi="Times New Roman" w:cs="Times New Roman"/>
          <w:sz w:val="24"/>
          <w:szCs w:val="24"/>
          <w:lang w:val="en-GB"/>
        </w:rPr>
        <w:t>–</w:t>
      </w:r>
      <w:r w:rsidR="00987F79" w:rsidRPr="00050DEF">
        <w:rPr>
          <w:rFonts w:ascii="Times New Roman" w:hAnsi="Times New Roman" w:cs="Times New Roman"/>
          <w:sz w:val="24"/>
          <w:szCs w:val="24"/>
          <w:lang w:val="en-GB"/>
        </w:rPr>
        <w:t>51</w:t>
      </w:r>
      <w:r w:rsidRPr="00050DEF">
        <w:rPr>
          <w:rFonts w:ascii="Times New Roman" w:hAnsi="Times New Roman" w:cs="Times New Roman"/>
          <w:sz w:val="24"/>
          <w:szCs w:val="24"/>
          <w:lang w:val="en-GB"/>
        </w:rPr>
        <w:t xml:space="preserve">). </w:t>
      </w:r>
      <w:r w:rsidR="000224BB" w:rsidRPr="00050DEF">
        <w:rPr>
          <w:rFonts w:ascii="Times New Roman" w:hAnsi="Times New Roman" w:cs="Times New Roman"/>
          <w:sz w:val="24"/>
          <w:szCs w:val="24"/>
          <w:lang w:val="en-GB"/>
        </w:rPr>
        <w:t>Yet, conversely, i</w:t>
      </w:r>
      <w:r w:rsidRPr="00050DEF">
        <w:rPr>
          <w:rFonts w:ascii="Times New Roman" w:hAnsi="Times New Roman" w:cs="Times New Roman"/>
          <w:sz w:val="24"/>
          <w:szCs w:val="24"/>
          <w:lang w:val="en-GB"/>
        </w:rPr>
        <w:t xml:space="preserve">f we relied on </w:t>
      </w:r>
      <w:r w:rsidR="000224BB" w:rsidRPr="00050DEF">
        <w:rPr>
          <w:rFonts w:ascii="Times New Roman" w:hAnsi="Times New Roman" w:cs="Times New Roman"/>
          <w:sz w:val="24"/>
          <w:szCs w:val="24"/>
          <w:lang w:val="en-GB"/>
        </w:rPr>
        <w:t xml:space="preserve">mass </w:t>
      </w:r>
      <w:r w:rsidRPr="00050DEF">
        <w:rPr>
          <w:rFonts w:ascii="Times New Roman" w:hAnsi="Times New Roman" w:cs="Times New Roman"/>
          <w:sz w:val="24"/>
          <w:szCs w:val="24"/>
          <w:lang w:val="en-GB"/>
        </w:rPr>
        <w:t xml:space="preserve">media reports to assess the interest group’s micro-frame, we would run a serious risk of confusing the micro- </w:t>
      </w:r>
      <w:r w:rsidR="000224BB" w:rsidRPr="00050DEF">
        <w:rPr>
          <w:rFonts w:ascii="Times New Roman" w:hAnsi="Times New Roman" w:cs="Times New Roman"/>
          <w:sz w:val="24"/>
          <w:szCs w:val="24"/>
          <w:lang w:val="en-GB"/>
        </w:rPr>
        <w:t>and the macro-frame. Hence, we need a</w:t>
      </w:r>
      <w:r w:rsidRPr="00050DEF">
        <w:rPr>
          <w:rFonts w:ascii="Times New Roman" w:hAnsi="Times New Roman" w:cs="Times New Roman"/>
          <w:sz w:val="24"/>
          <w:szCs w:val="24"/>
          <w:lang w:val="en-GB"/>
        </w:rPr>
        <w:t xml:space="preserve"> </w:t>
      </w:r>
      <w:r w:rsidR="000224BB" w:rsidRPr="00050DEF">
        <w:rPr>
          <w:rFonts w:ascii="Times New Roman" w:hAnsi="Times New Roman" w:cs="Times New Roman"/>
          <w:sz w:val="24"/>
          <w:szCs w:val="24"/>
          <w:lang w:val="en-GB"/>
        </w:rPr>
        <w:t>policy area</w:t>
      </w:r>
      <w:r w:rsidRPr="00050DEF">
        <w:rPr>
          <w:rFonts w:ascii="Times New Roman" w:hAnsi="Times New Roman" w:cs="Times New Roman"/>
          <w:sz w:val="24"/>
          <w:szCs w:val="24"/>
          <w:lang w:val="en-GB"/>
        </w:rPr>
        <w:t xml:space="preserve"> with an interest group that consistently and publicly communicates it</w:t>
      </w:r>
      <w:r w:rsidR="00213810"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view</w:t>
      </w:r>
      <w:r w:rsidR="00213810"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on the issue outside the media. </w:t>
      </w:r>
    </w:p>
    <w:p w14:paraId="3D47497C" w14:textId="77777777"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third requirement is that the interest group population has to be constant over time. Research shows that most interest group populations </w:t>
      </w:r>
      <w:r w:rsidR="00E51DA8" w:rsidRPr="00050DEF">
        <w:rPr>
          <w:rFonts w:ascii="Times New Roman" w:hAnsi="Times New Roman" w:cs="Times New Roman"/>
          <w:sz w:val="24"/>
          <w:szCs w:val="24"/>
          <w:lang w:val="en-GB"/>
        </w:rPr>
        <w:t>are</w:t>
      </w:r>
      <w:r w:rsidRPr="00050DEF">
        <w:rPr>
          <w:rFonts w:ascii="Times New Roman" w:hAnsi="Times New Roman" w:cs="Times New Roman"/>
          <w:sz w:val="24"/>
          <w:szCs w:val="24"/>
          <w:lang w:val="en-GB"/>
        </w:rPr>
        <w:t xml:space="preserve"> not constant over time </w:t>
      </w:r>
      <w:r w:rsidRPr="00050DEF">
        <w:rPr>
          <w:rFonts w:ascii="Times New Roman" w:hAnsi="Times New Roman" w:cs="Times New Roman"/>
          <w:sz w:val="24"/>
          <w:lang w:val="en-GB"/>
        </w:rPr>
        <w:t>(Fisker 2015)</w:t>
      </w:r>
      <w:r w:rsidRPr="00050DEF">
        <w:rPr>
          <w:rFonts w:ascii="Times New Roman" w:hAnsi="Times New Roman" w:cs="Times New Roman"/>
          <w:sz w:val="24"/>
          <w:szCs w:val="24"/>
          <w:lang w:val="en-GB"/>
        </w:rPr>
        <w:t>.</w:t>
      </w:r>
      <w:r w:rsidR="00E51DA8" w:rsidRPr="00050DEF">
        <w:rPr>
          <w:rFonts w:ascii="Times New Roman" w:hAnsi="Times New Roman" w:cs="Times New Roman"/>
          <w:sz w:val="24"/>
          <w:szCs w:val="24"/>
          <w:lang w:val="en-GB"/>
        </w:rPr>
        <w:t xml:space="preserve"> </w:t>
      </w:r>
      <w:r w:rsidR="00FA6B1A" w:rsidRPr="00050DEF">
        <w:rPr>
          <w:rFonts w:ascii="Times New Roman" w:hAnsi="Times New Roman" w:cs="Times New Roman"/>
          <w:sz w:val="24"/>
          <w:szCs w:val="24"/>
          <w:lang w:val="en-GB"/>
        </w:rPr>
        <w:t>Yet</w:t>
      </w:r>
      <w:r w:rsidR="00213810" w:rsidRPr="00050DEF">
        <w:rPr>
          <w:rFonts w:ascii="Times New Roman" w:hAnsi="Times New Roman" w:cs="Times New Roman"/>
          <w:sz w:val="24"/>
          <w:szCs w:val="24"/>
          <w:lang w:val="en-GB"/>
        </w:rPr>
        <w:t>,</w:t>
      </w:r>
      <w:r w:rsidR="00FA6B1A" w:rsidRPr="00050DEF">
        <w:rPr>
          <w:rFonts w:ascii="Times New Roman" w:hAnsi="Times New Roman" w:cs="Times New Roman"/>
          <w:sz w:val="24"/>
          <w:szCs w:val="24"/>
          <w:lang w:val="en-GB"/>
        </w:rPr>
        <w:t xml:space="preserve"> i</w:t>
      </w:r>
      <w:r w:rsidRPr="00050DEF">
        <w:rPr>
          <w:rFonts w:ascii="Times New Roman" w:hAnsi="Times New Roman" w:cs="Times New Roman"/>
          <w:sz w:val="24"/>
          <w:szCs w:val="24"/>
          <w:lang w:val="en-GB"/>
        </w:rPr>
        <w:t xml:space="preserve">f interest groups form and dissolve </w:t>
      </w:r>
      <w:r w:rsidR="00FA6B1A" w:rsidRPr="00050DEF">
        <w:rPr>
          <w:rFonts w:ascii="Times New Roman" w:hAnsi="Times New Roman" w:cs="Times New Roman"/>
          <w:sz w:val="24"/>
          <w:szCs w:val="24"/>
          <w:lang w:val="en-GB"/>
        </w:rPr>
        <w:t>over the period under study</w:t>
      </w:r>
      <w:r w:rsidRPr="00050DEF">
        <w:rPr>
          <w:rFonts w:ascii="Times New Roman" w:hAnsi="Times New Roman" w:cs="Times New Roman"/>
          <w:sz w:val="24"/>
          <w:szCs w:val="24"/>
          <w:lang w:val="en-GB"/>
        </w:rPr>
        <w:t xml:space="preserve">, a change in the micro-frame of the interest group </w:t>
      </w:r>
      <w:r w:rsidRPr="00050DEF">
        <w:rPr>
          <w:rFonts w:ascii="Times New Roman" w:hAnsi="Times New Roman" w:cs="Times New Roman"/>
          <w:sz w:val="24"/>
          <w:szCs w:val="24"/>
          <w:lang w:val="en-GB"/>
        </w:rPr>
        <w:lastRenderedPageBreak/>
        <w:t xml:space="preserve">may have to do with dynamics internal to the population more than a change in the macro-frame. The analysis would not be able to tell. Moreover, to avoid dynamics in advocacy coalitions </w:t>
      </w:r>
      <w:r w:rsidRPr="00050DEF">
        <w:rPr>
          <w:rFonts w:ascii="Times New Roman" w:hAnsi="Times New Roman" w:cs="Times New Roman"/>
          <w:sz w:val="24"/>
          <w:lang w:val="en-GB"/>
        </w:rPr>
        <w:t>(Mahoney 2007)</w:t>
      </w:r>
      <w:r w:rsidRPr="00050DEF">
        <w:rPr>
          <w:rFonts w:ascii="Times New Roman" w:hAnsi="Times New Roman" w:cs="Times New Roman"/>
          <w:sz w:val="24"/>
          <w:szCs w:val="24"/>
          <w:lang w:val="en-GB"/>
        </w:rPr>
        <w:t xml:space="preserve"> and other dynamics internal to the interest group population, a population consisting of only a few interest groups would help the analysis.</w:t>
      </w:r>
    </w:p>
    <w:p w14:paraId="72DAF0A9" w14:textId="7D41BC31"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Apart from identifying a case that fu</w:t>
      </w:r>
      <w:r w:rsidR="00FA6B1A" w:rsidRPr="00050DEF">
        <w:rPr>
          <w:rFonts w:ascii="Times New Roman" w:hAnsi="Times New Roman" w:cs="Times New Roman"/>
          <w:sz w:val="24"/>
          <w:szCs w:val="24"/>
          <w:lang w:val="en-GB"/>
        </w:rPr>
        <w:t xml:space="preserve">lfils these three criteria, we also have to consider how to study changes to </w:t>
      </w:r>
      <w:r w:rsidRPr="00050DEF">
        <w:rPr>
          <w:rFonts w:ascii="Times New Roman" w:hAnsi="Times New Roman" w:cs="Times New Roman"/>
          <w:sz w:val="24"/>
          <w:szCs w:val="24"/>
          <w:lang w:val="en-GB"/>
        </w:rPr>
        <w:t>the macro-frame. As explained by Baumgartner</w:t>
      </w:r>
      <w:r w:rsidR="00C66985" w:rsidRPr="00050DEF">
        <w:rPr>
          <w:rFonts w:ascii="Times New Roman" w:hAnsi="Times New Roman" w:cs="Times New Roman"/>
          <w:sz w:val="24"/>
          <w:szCs w:val="24"/>
          <w:lang w:val="en-GB"/>
        </w:rPr>
        <w:t xml:space="preserve"> </w:t>
      </w:r>
      <w:r w:rsidR="00C66985" w:rsidRPr="00050DEF">
        <w:rPr>
          <w:rFonts w:ascii="Times New Roman" w:hAnsi="Times New Roman" w:cs="Times New Roman"/>
          <w:sz w:val="24"/>
          <w:lang w:val="en-GB"/>
        </w:rPr>
        <w:t>(2013)</w:t>
      </w:r>
      <w:r w:rsidRPr="00050DEF">
        <w:rPr>
          <w:rFonts w:ascii="Times New Roman" w:hAnsi="Times New Roman" w:cs="Times New Roman"/>
          <w:sz w:val="24"/>
          <w:szCs w:val="24"/>
          <w:lang w:val="en-GB"/>
        </w:rPr>
        <w:t>, a change in a macro-frame is</w:t>
      </w:r>
      <w:r w:rsidR="002B4203" w:rsidRPr="00050DEF">
        <w:rPr>
          <w:rFonts w:ascii="Times New Roman" w:hAnsi="Times New Roman" w:cs="Times New Roman"/>
          <w:sz w:val="24"/>
          <w:szCs w:val="24"/>
          <w:lang w:val="en-GB"/>
        </w:rPr>
        <w:t xml:space="preserve"> comparable to a paradigm shift, as conceptualized by Hall</w:t>
      </w:r>
      <w:r w:rsidR="00C66985" w:rsidRPr="00050DEF">
        <w:rPr>
          <w:rFonts w:ascii="Times New Roman" w:hAnsi="Times New Roman" w:cs="Times New Roman"/>
          <w:sz w:val="24"/>
          <w:szCs w:val="24"/>
          <w:lang w:val="en-GB"/>
        </w:rPr>
        <w:t xml:space="preserve"> </w:t>
      </w:r>
      <w:r w:rsidR="00C66985" w:rsidRPr="00050DEF">
        <w:rPr>
          <w:rFonts w:ascii="Times New Roman" w:hAnsi="Times New Roman" w:cs="Times New Roman"/>
          <w:sz w:val="24"/>
          <w:lang w:val="en-GB"/>
        </w:rPr>
        <w:t>(1993)</w:t>
      </w:r>
      <w:r w:rsidRPr="00050DEF">
        <w:rPr>
          <w:rFonts w:ascii="Times New Roman" w:hAnsi="Times New Roman" w:cs="Times New Roman"/>
          <w:sz w:val="24"/>
          <w:szCs w:val="24"/>
          <w:lang w:val="en-GB"/>
        </w:rPr>
        <w:t xml:space="preserve">. </w:t>
      </w:r>
      <w:r w:rsidR="002B4203" w:rsidRPr="00050DEF">
        <w:rPr>
          <w:rFonts w:ascii="Times New Roman" w:hAnsi="Times New Roman" w:cs="Times New Roman"/>
          <w:sz w:val="24"/>
          <w:szCs w:val="24"/>
          <w:lang w:val="en-GB"/>
        </w:rPr>
        <w:t>Consequently</w:t>
      </w:r>
      <w:r w:rsidRPr="00050DEF">
        <w:rPr>
          <w:rFonts w:ascii="Times New Roman" w:hAnsi="Times New Roman" w:cs="Times New Roman"/>
          <w:sz w:val="24"/>
          <w:szCs w:val="24"/>
          <w:lang w:val="en-GB"/>
        </w:rPr>
        <w:t xml:space="preserve">, a change in the macro-frame involves not only </w:t>
      </w:r>
      <w:r w:rsidR="002B4203" w:rsidRPr="00050DEF">
        <w:rPr>
          <w:rFonts w:ascii="Times New Roman" w:hAnsi="Times New Roman" w:cs="Times New Roman"/>
          <w:sz w:val="24"/>
          <w:szCs w:val="24"/>
          <w:lang w:val="en-GB"/>
        </w:rPr>
        <w:t>an altered discourse but also that actors come to favo</w:t>
      </w:r>
      <w:r w:rsidR="00271098">
        <w:rPr>
          <w:rFonts w:ascii="Times New Roman" w:hAnsi="Times New Roman" w:cs="Times New Roman"/>
          <w:sz w:val="24"/>
          <w:szCs w:val="24"/>
          <w:lang w:val="en-GB"/>
        </w:rPr>
        <w:t>u</w:t>
      </w:r>
      <w:r w:rsidR="002B4203" w:rsidRPr="00050DEF">
        <w:rPr>
          <w:rFonts w:ascii="Times New Roman" w:hAnsi="Times New Roman" w:cs="Times New Roman"/>
          <w:sz w:val="24"/>
          <w:szCs w:val="24"/>
          <w:lang w:val="en-GB"/>
        </w:rPr>
        <w:t>r new policies and that this actually spills over into new regulation</w:t>
      </w:r>
      <w:r w:rsidR="00271098">
        <w:rPr>
          <w:rFonts w:ascii="Times New Roman" w:hAnsi="Times New Roman" w:cs="Times New Roman"/>
          <w:sz w:val="24"/>
          <w:szCs w:val="24"/>
          <w:lang w:val="en-GB"/>
        </w:rPr>
        <w:t>,</w:t>
      </w:r>
      <w:r w:rsidR="002B4203" w:rsidRPr="00050DEF">
        <w:rPr>
          <w:rFonts w:ascii="Times New Roman" w:hAnsi="Times New Roman" w:cs="Times New Roman"/>
          <w:sz w:val="24"/>
          <w:szCs w:val="24"/>
          <w:lang w:val="en-GB"/>
        </w:rPr>
        <w:t xml:space="preserve"> too</w:t>
      </w:r>
      <w:r w:rsidRPr="00050DEF">
        <w:rPr>
          <w:rFonts w:ascii="Times New Roman" w:hAnsi="Times New Roman" w:cs="Times New Roman"/>
          <w:sz w:val="24"/>
          <w:szCs w:val="24"/>
          <w:lang w:val="en-GB"/>
        </w:rPr>
        <w:t xml:space="preserve">. </w:t>
      </w:r>
      <w:r w:rsidR="005A6BCD" w:rsidRPr="00050DEF">
        <w:rPr>
          <w:rFonts w:ascii="Times New Roman" w:hAnsi="Times New Roman" w:cs="Times New Roman"/>
          <w:sz w:val="24"/>
          <w:szCs w:val="24"/>
          <w:lang w:val="en-GB"/>
        </w:rPr>
        <w:t>A</w:t>
      </w:r>
      <w:r w:rsidRPr="00050DEF">
        <w:rPr>
          <w:rFonts w:ascii="Times New Roman" w:hAnsi="Times New Roman" w:cs="Times New Roman"/>
          <w:sz w:val="24"/>
          <w:szCs w:val="24"/>
          <w:lang w:val="en-GB"/>
        </w:rPr>
        <w:t>n analysis of a change in the macro-frame</w:t>
      </w:r>
      <w:r w:rsidR="005A6BCD" w:rsidRPr="00050DEF">
        <w:rPr>
          <w:rFonts w:ascii="Times New Roman" w:hAnsi="Times New Roman" w:cs="Times New Roman"/>
          <w:sz w:val="24"/>
          <w:szCs w:val="24"/>
          <w:lang w:val="en-GB"/>
        </w:rPr>
        <w:t>, in sum,</w:t>
      </w:r>
      <w:r w:rsidRPr="00050DEF">
        <w:rPr>
          <w:rFonts w:ascii="Times New Roman" w:hAnsi="Times New Roman" w:cs="Times New Roman"/>
          <w:sz w:val="24"/>
          <w:szCs w:val="24"/>
          <w:lang w:val="en-GB"/>
        </w:rPr>
        <w:t xml:space="preserve"> involves studying (1) the discourse </w:t>
      </w:r>
      <w:r w:rsidR="002B4203" w:rsidRPr="00050DEF">
        <w:rPr>
          <w:rFonts w:ascii="Times New Roman" w:hAnsi="Times New Roman" w:cs="Times New Roman"/>
          <w:sz w:val="24"/>
          <w:szCs w:val="24"/>
          <w:lang w:val="en-GB"/>
        </w:rPr>
        <w:t>on the area</w:t>
      </w:r>
      <w:r w:rsidRPr="00050DEF">
        <w:rPr>
          <w:rFonts w:ascii="Times New Roman" w:hAnsi="Times New Roman" w:cs="Times New Roman"/>
          <w:sz w:val="24"/>
          <w:szCs w:val="24"/>
          <w:lang w:val="en-GB"/>
        </w:rPr>
        <w:t xml:space="preserve">, (2) the type </w:t>
      </w:r>
      <w:r w:rsidR="005A6BCD" w:rsidRPr="00050DEF">
        <w:rPr>
          <w:rFonts w:ascii="Times New Roman" w:hAnsi="Times New Roman" w:cs="Times New Roman"/>
          <w:sz w:val="24"/>
          <w:szCs w:val="24"/>
          <w:lang w:val="en-GB"/>
        </w:rPr>
        <w:t>of policy changes</w:t>
      </w:r>
      <w:r w:rsidRPr="00050DEF">
        <w:rPr>
          <w:rFonts w:ascii="Times New Roman" w:hAnsi="Times New Roman" w:cs="Times New Roman"/>
          <w:sz w:val="24"/>
          <w:szCs w:val="24"/>
          <w:lang w:val="en-GB"/>
        </w:rPr>
        <w:t xml:space="preserve"> that </w:t>
      </w:r>
      <w:r w:rsidR="005A6BCD" w:rsidRPr="00050DEF">
        <w:rPr>
          <w:rFonts w:ascii="Times New Roman" w:hAnsi="Times New Roman" w:cs="Times New Roman"/>
          <w:sz w:val="24"/>
          <w:szCs w:val="24"/>
          <w:lang w:val="en-GB"/>
        </w:rPr>
        <w:t>actors</w:t>
      </w:r>
      <w:r w:rsidRPr="00050DEF">
        <w:rPr>
          <w:rFonts w:ascii="Times New Roman" w:hAnsi="Times New Roman" w:cs="Times New Roman"/>
          <w:sz w:val="24"/>
          <w:szCs w:val="24"/>
          <w:lang w:val="en-GB"/>
        </w:rPr>
        <w:t xml:space="preserve"> call for, and (3) actual policy changes</w:t>
      </w:r>
      <w:r w:rsidR="005A6BCD" w:rsidRPr="00050DEF">
        <w:rPr>
          <w:rFonts w:ascii="Times New Roman" w:hAnsi="Times New Roman" w:cs="Times New Roman"/>
          <w:sz w:val="24"/>
          <w:szCs w:val="24"/>
          <w:lang w:val="en-GB"/>
        </w:rPr>
        <w:t xml:space="preserve"> as legislated by the authorities</w:t>
      </w:r>
      <w:r w:rsidRPr="00050DEF">
        <w:rPr>
          <w:rFonts w:ascii="Times New Roman" w:hAnsi="Times New Roman" w:cs="Times New Roman"/>
          <w:sz w:val="24"/>
          <w:szCs w:val="24"/>
          <w:lang w:val="en-GB"/>
        </w:rPr>
        <w:t xml:space="preserve">. </w:t>
      </w:r>
    </w:p>
    <w:p w14:paraId="544F82B2" w14:textId="77777777" w:rsidR="00633FCF" w:rsidRPr="00050DEF" w:rsidRDefault="00633FCF" w:rsidP="00633FCF">
      <w:pPr>
        <w:spacing w:after="0" w:line="480" w:lineRule="auto"/>
        <w:rPr>
          <w:rFonts w:ascii="Times New Roman" w:hAnsi="Times New Roman" w:cs="Times New Roman"/>
          <w:sz w:val="24"/>
          <w:szCs w:val="24"/>
          <w:lang w:val="en-GB"/>
        </w:rPr>
      </w:pPr>
    </w:p>
    <w:p w14:paraId="0955D7E2" w14:textId="77777777"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b/>
          <w:sz w:val="24"/>
          <w:szCs w:val="24"/>
          <w:lang w:val="en-GB"/>
        </w:rPr>
        <w:t>Case selection and data</w:t>
      </w:r>
    </w:p>
    <w:p w14:paraId="3D47BE30" w14:textId="4015E9E7"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In order to t</w:t>
      </w:r>
      <w:r w:rsidR="00156F50" w:rsidRPr="00050DEF">
        <w:rPr>
          <w:rFonts w:ascii="Times New Roman" w:hAnsi="Times New Roman" w:cs="Times New Roman"/>
          <w:sz w:val="24"/>
          <w:szCs w:val="24"/>
          <w:lang w:val="en-GB"/>
        </w:rPr>
        <w:t>est how macro-frames</w:t>
      </w:r>
      <w:r w:rsidRPr="00050DEF">
        <w:rPr>
          <w:rFonts w:ascii="Times New Roman" w:hAnsi="Times New Roman" w:cs="Times New Roman"/>
          <w:sz w:val="24"/>
          <w:szCs w:val="24"/>
          <w:lang w:val="en-GB"/>
        </w:rPr>
        <w:t xml:space="preserve"> affect interest groups’ micro-framing, we analy</w:t>
      </w:r>
      <w:r w:rsidR="003531B1">
        <w:rPr>
          <w:rFonts w:ascii="Times New Roman" w:hAnsi="Times New Roman" w:cs="Times New Roman"/>
          <w:sz w:val="24"/>
          <w:szCs w:val="24"/>
          <w:lang w:val="en-GB"/>
        </w:rPr>
        <w:t>s</w:t>
      </w:r>
      <w:r w:rsidRPr="00050DEF">
        <w:rPr>
          <w:rFonts w:ascii="Times New Roman" w:hAnsi="Times New Roman" w:cs="Times New Roman"/>
          <w:sz w:val="24"/>
          <w:szCs w:val="24"/>
          <w:lang w:val="en-GB"/>
        </w:rPr>
        <w:t>e the case of alcohol in Denmark from the late 1990s to the early 2010s. Denmark belongs to the cluster of countries that</w:t>
      </w:r>
      <w:r w:rsidR="003531B1">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historically</w:t>
      </w:r>
      <w:r w:rsidR="003531B1">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is best described as classic corporatist with a high degree of formal involvement of interest groups in the policy-making process </w:t>
      </w:r>
      <w:r w:rsidR="000321B1" w:rsidRPr="00050DEF">
        <w:rPr>
          <w:rFonts w:ascii="Times New Roman" w:hAnsi="Times New Roman" w:cs="Times New Roman"/>
          <w:sz w:val="24"/>
          <w:szCs w:val="24"/>
          <w:lang w:val="en-GB"/>
        </w:rPr>
        <w:t>(Binderkrantz and Christiansen 2015)</w:t>
      </w:r>
      <w:r w:rsidRPr="00050DEF">
        <w:rPr>
          <w:rFonts w:ascii="Times New Roman" w:hAnsi="Times New Roman" w:cs="Times New Roman"/>
          <w:sz w:val="24"/>
          <w:szCs w:val="24"/>
          <w:lang w:val="en-GB"/>
        </w:rPr>
        <w:t xml:space="preserve">. With this privileged access to parliament and the bureaucracy, we should expect that Danish interest groups are not as involved and as experienced in public advocacy, </w:t>
      </w:r>
      <w:r w:rsidR="009F5E17">
        <w:rPr>
          <w:rFonts w:ascii="Times New Roman" w:hAnsi="Times New Roman" w:cs="Times New Roman"/>
          <w:sz w:val="24"/>
          <w:szCs w:val="24"/>
          <w:lang w:val="en-GB"/>
        </w:rPr>
        <w:t>that is,</w:t>
      </w:r>
      <w:r w:rsidRPr="00050DEF">
        <w:rPr>
          <w:rFonts w:ascii="Times New Roman" w:hAnsi="Times New Roman" w:cs="Times New Roman"/>
          <w:sz w:val="24"/>
          <w:szCs w:val="24"/>
          <w:lang w:val="en-GB"/>
        </w:rPr>
        <w:t xml:space="preserve"> micro-framing, as they would have been in a more pluralist country with more open competition. Hence, if we find clear patterns in the micro-framing of the Danish interest groups and</w:t>
      </w:r>
      <w:r w:rsidR="003531B1">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hence</w:t>
      </w:r>
      <w:r w:rsidR="003531B1">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 sign of clear strategic behavio</w:t>
      </w:r>
      <w:r w:rsidR="003531B1">
        <w:rPr>
          <w:rFonts w:ascii="Times New Roman" w:hAnsi="Times New Roman" w:cs="Times New Roman"/>
          <w:sz w:val="24"/>
          <w:szCs w:val="24"/>
          <w:lang w:val="en-GB"/>
        </w:rPr>
        <w:t>u</w:t>
      </w:r>
      <w:r w:rsidRPr="00050DEF">
        <w:rPr>
          <w:rFonts w:ascii="Times New Roman" w:hAnsi="Times New Roman" w:cs="Times New Roman"/>
          <w:sz w:val="24"/>
          <w:szCs w:val="24"/>
          <w:lang w:val="en-GB"/>
        </w:rPr>
        <w:t xml:space="preserve">r, we should at least expect to be able to find the same patterns in more plural societies. </w:t>
      </w:r>
    </w:p>
    <w:p w14:paraId="0457FD0D" w14:textId="6994D584"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 xml:space="preserve">The Danish case is appealing because it provides </w:t>
      </w:r>
      <w:r w:rsidR="0011471B" w:rsidRPr="00050DEF">
        <w:rPr>
          <w:rFonts w:ascii="Times New Roman" w:hAnsi="Times New Roman" w:cs="Times New Roman"/>
          <w:sz w:val="24"/>
          <w:szCs w:val="24"/>
          <w:lang w:val="en-GB"/>
        </w:rPr>
        <w:t>a major change i</w:t>
      </w:r>
      <w:r w:rsidRPr="00050DEF">
        <w:rPr>
          <w:rFonts w:ascii="Times New Roman" w:hAnsi="Times New Roman" w:cs="Times New Roman"/>
          <w:sz w:val="24"/>
          <w:szCs w:val="24"/>
          <w:lang w:val="en-GB"/>
        </w:rPr>
        <w:t>n the macro-frame</w:t>
      </w:r>
      <w:r w:rsidR="0011471B" w:rsidRPr="00050DEF">
        <w:rPr>
          <w:rFonts w:ascii="Times New Roman" w:hAnsi="Times New Roman" w:cs="Times New Roman"/>
          <w:sz w:val="24"/>
          <w:szCs w:val="24"/>
          <w:lang w:val="en-GB"/>
        </w:rPr>
        <w:t xml:space="preserve"> </w:t>
      </w:r>
      <w:r w:rsidR="002E1A31">
        <w:rPr>
          <w:rFonts w:ascii="Times New Roman" w:hAnsi="Times New Roman" w:cs="Times New Roman"/>
          <w:sz w:val="24"/>
          <w:szCs w:val="24"/>
          <w:lang w:val="en-GB"/>
        </w:rPr>
        <w:t>that</w:t>
      </w:r>
      <w:r w:rsidR="0011471B" w:rsidRPr="00050DEF">
        <w:rPr>
          <w:rFonts w:ascii="Times New Roman" w:hAnsi="Times New Roman" w:cs="Times New Roman"/>
          <w:sz w:val="24"/>
          <w:szCs w:val="24"/>
          <w:lang w:val="en-GB"/>
        </w:rPr>
        <w:t xml:space="preserve"> was not initiated by the interest group</w:t>
      </w:r>
      <w:r w:rsidR="002E1A31">
        <w:rPr>
          <w:rFonts w:ascii="Times New Roman" w:hAnsi="Times New Roman" w:cs="Times New Roman"/>
          <w:sz w:val="24"/>
          <w:szCs w:val="24"/>
          <w:lang w:val="en-GB"/>
        </w:rPr>
        <w:t>,</w:t>
      </w:r>
      <w:r w:rsidR="0011471B" w:rsidRPr="00050DEF">
        <w:rPr>
          <w:rFonts w:ascii="Times New Roman" w:hAnsi="Times New Roman" w:cs="Times New Roman"/>
          <w:sz w:val="24"/>
          <w:szCs w:val="24"/>
          <w:lang w:val="en-GB"/>
        </w:rPr>
        <w:t xml:space="preserve"> as </w:t>
      </w:r>
      <w:r w:rsidRPr="00050DEF">
        <w:rPr>
          <w:rFonts w:ascii="Times New Roman" w:hAnsi="Times New Roman" w:cs="Times New Roman"/>
          <w:sz w:val="24"/>
          <w:szCs w:val="24"/>
          <w:lang w:val="en-GB"/>
        </w:rPr>
        <w:t>explained below</w:t>
      </w:r>
      <w:r w:rsidR="0011471B" w:rsidRPr="00050DEF">
        <w:rPr>
          <w:rFonts w:ascii="Times New Roman" w:hAnsi="Times New Roman" w:cs="Times New Roman"/>
          <w:sz w:val="24"/>
          <w:szCs w:val="24"/>
          <w:lang w:val="en-GB"/>
        </w:rPr>
        <w:t xml:space="preserve">. This </w:t>
      </w:r>
      <w:r w:rsidRPr="00050DEF">
        <w:rPr>
          <w:rFonts w:ascii="Times New Roman" w:hAnsi="Times New Roman" w:cs="Times New Roman"/>
          <w:sz w:val="24"/>
          <w:szCs w:val="24"/>
          <w:lang w:val="en-GB"/>
        </w:rPr>
        <w:t xml:space="preserve">allows us </w:t>
      </w:r>
      <w:r w:rsidR="0011471B" w:rsidRPr="00050DEF">
        <w:rPr>
          <w:rFonts w:ascii="Times New Roman" w:hAnsi="Times New Roman" w:cs="Times New Roman"/>
          <w:sz w:val="24"/>
          <w:szCs w:val="24"/>
          <w:lang w:val="en-GB"/>
        </w:rPr>
        <w:t xml:space="preserve">a rather clear-cut case </w:t>
      </w:r>
      <w:r w:rsidRPr="00050DEF">
        <w:rPr>
          <w:rFonts w:ascii="Times New Roman" w:hAnsi="Times New Roman" w:cs="Times New Roman"/>
          <w:sz w:val="24"/>
          <w:szCs w:val="24"/>
          <w:lang w:val="en-GB"/>
        </w:rPr>
        <w:t>to study how the macro-frame influence</w:t>
      </w:r>
      <w:r w:rsidR="008F1805"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an interest group’s micro-frame. This fulfils our first case selection criteria. The area of alcohol is useful for analysis because its scope is fairly limited (in contrast to, say, integration of immigrants) and c</w:t>
      </w:r>
      <w:r w:rsidR="00413030" w:rsidRPr="00050DEF">
        <w:rPr>
          <w:rFonts w:ascii="Times New Roman" w:hAnsi="Times New Roman" w:cs="Times New Roman"/>
          <w:sz w:val="24"/>
          <w:szCs w:val="24"/>
          <w:lang w:val="en-GB"/>
        </w:rPr>
        <w:t xml:space="preserve">an be clearly </w:t>
      </w:r>
      <w:r w:rsidR="008C5435" w:rsidRPr="00050DEF">
        <w:rPr>
          <w:rFonts w:ascii="Times New Roman" w:hAnsi="Times New Roman" w:cs="Times New Roman"/>
          <w:sz w:val="24"/>
          <w:szCs w:val="24"/>
          <w:lang w:val="en-GB"/>
        </w:rPr>
        <w:t>defined</w:t>
      </w:r>
      <w:r w:rsidR="00413030" w:rsidRPr="00050DEF">
        <w:rPr>
          <w:rFonts w:ascii="Times New Roman" w:hAnsi="Times New Roman" w:cs="Times New Roman"/>
          <w:sz w:val="24"/>
          <w:szCs w:val="24"/>
          <w:lang w:val="en-GB"/>
        </w:rPr>
        <w:t xml:space="preserve"> over time. T</w:t>
      </w:r>
      <w:r w:rsidRPr="00050DEF">
        <w:rPr>
          <w:rFonts w:ascii="Times New Roman" w:hAnsi="Times New Roman" w:cs="Times New Roman"/>
          <w:sz w:val="24"/>
          <w:szCs w:val="24"/>
          <w:lang w:val="en-GB"/>
        </w:rPr>
        <w:t xml:space="preserve">he area concerns </w:t>
      </w:r>
      <w:r w:rsidR="008C5435" w:rsidRPr="00050DEF">
        <w:rPr>
          <w:rFonts w:ascii="Times New Roman" w:hAnsi="Times New Roman" w:cs="Times New Roman"/>
          <w:sz w:val="24"/>
          <w:szCs w:val="24"/>
          <w:lang w:val="en-GB"/>
        </w:rPr>
        <w:t>production, marketing</w:t>
      </w:r>
      <w:r w:rsidR="008F1805" w:rsidRPr="00050DEF">
        <w:rPr>
          <w:rFonts w:ascii="Times New Roman" w:hAnsi="Times New Roman" w:cs="Times New Roman"/>
          <w:sz w:val="24"/>
          <w:szCs w:val="24"/>
          <w:lang w:val="en-GB"/>
        </w:rPr>
        <w:t>,</w:t>
      </w:r>
      <w:r w:rsidR="008C5435" w:rsidRPr="00050DEF">
        <w:rPr>
          <w:rFonts w:ascii="Times New Roman" w:hAnsi="Times New Roman" w:cs="Times New Roman"/>
          <w:sz w:val="24"/>
          <w:szCs w:val="24"/>
          <w:lang w:val="en-GB"/>
        </w:rPr>
        <w:t xml:space="preserve"> and sale </w:t>
      </w:r>
      <w:r w:rsidRPr="00050DEF">
        <w:rPr>
          <w:rFonts w:ascii="Times New Roman" w:hAnsi="Times New Roman" w:cs="Times New Roman"/>
          <w:sz w:val="24"/>
          <w:szCs w:val="24"/>
          <w:lang w:val="en-GB"/>
        </w:rPr>
        <w:t xml:space="preserve">of alcoholic beverages </w:t>
      </w:r>
      <w:r w:rsidR="008C5435" w:rsidRPr="00050DEF">
        <w:rPr>
          <w:rFonts w:ascii="Times New Roman" w:hAnsi="Times New Roman" w:cs="Times New Roman"/>
          <w:sz w:val="24"/>
          <w:szCs w:val="24"/>
          <w:lang w:val="en-GB"/>
        </w:rPr>
        <w:t>as well as</w:t>
      </w:r>
      <w:r w:rsidRPr="00050DEF">
        <w:rPr>
          <w:rFonts w:ascii="Times New Roman" w:hAnsi="Times New Roman" w:cs="Times New Roman"/>
          <w:sz w:val="24"/>
          <w:szCs w:val="24"/>
          <w:lang w:val="en-GB"/>
        </w:rPr>
        <w:t xml:space="preserve"> consumers</w:t>
      </w:r>
      <w:r w:rsidR="008C543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access to </w:t>
      </w:r>
      <w:r w:rsidR="008C5435" w:rsidRPr="00050DEF">
        <w:rPr>
          <w:rFonts w:ascii="Times New Roman" w:hAnsi="Times New Roman" w:cs="Times New Roman"/>
          <w:sz w:val="24"/>
          <w:szCs w:val="24"/>
          <w:lang w:val="en-GB"/>
        </w:rPr>
        <w:t>and consumption of these products</w:t>
      </w:r>
      <w:r w:rsidRPr="00050DEF">
        <w:rPr>
          <w:rFonts w:ascii="Times New Roman" w:hAnsi="Times New Roman" w:cs="Times New Roman"/>
          <w:sz w:val="24"/>
          <w:szCs w:val="24"/>
          <w:lang w:val="en-GB"/>
        </w:rPr>
        <w:t>. This clear demarcation also helps to identify the interest group population, which is rather stable over time. In Denmark, the Danish Brewers</w:t>
      </w:r>
      <w:r w:rsidR="008C543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Association (‘Bryggeriforeningen’) was established in 1899 and today represents 51 small and large breweries – Carlsberg </w:t>
      </w:r>
      <w:r w:rsidR="008C5435" w:rsidRPr="00050DEF">
        <w:rPr>
          <w:rFonts w:ascii="Times New Roman" w:hAnsi="Times New Roman" w:cs="Times New Roman"/>
          <w:sz w:val="24"/>
          <w:szCs w:val="24"/>
          <w:lang w:val="en-GB"/>
        </w:rPr>
        <w:t>being</w:t>
      </w:r>
      <w:r w:rsidR="00413030"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the most important – who employ about 3</w:t>
      </w:r>
      <w:r w:rsidR="002E1A31">
        <w:rPr>
          <w:rFonts w:ascii="Times New Roman" w:hAnsi="Times New Roman" w:cs="Times New Roman"/>
          <w:sz w:val="24"/>
          <w:szCs w:val="24"/>
          <w:lang w:val="en-GB"/>
        </w:rPr>
        <w:t>,</w:t>
      </w:r>
      <w:r w:rsidRPr="00050DEF">
        <w:rPr>
          <w:rFonts w:ascii="Times New Roman" w:hAnsi="Times New Roman" w:cs="Times New Roman"/>
          <w:sz w:val="24"/>
          <w:szCs w:val="24"/>
          <w:lang w:val="en-GB"/>
        </w:rPr>
        <w:t>500 pe</w:t>
      </w:r>
      <w:r w:rsidR="000C0D05">
        <w:rPr>
          <w:rFonts w:ascii="Times New Roman" w:hAnsi="Times New Roman" w:cs="Times New Roman"/>
          <w:sz w:val="24"/>
          <w:szCs w:val="24"/>
          <w:lang w:val="en-GB"/>
        </w:rPr>
        <w:t>ople</w:t>
      </w:r>
      <w:r w:rsidRPr="00050DEF">
        <w:rPr>
          <w:rFonts w:ascii="Times New Roman" w:hAnsi="Times New Roman" w:cs="Times New Roman"/>
          <w:sz w:val="24"/>
          <w:szCs w:val="24"/>
          <w:lang w:val="en-GB"/>
        </w:rPr>
        <w:t xml:space="preserve"> and produce 98 percent of </w:t>
      </w:r>
      <w:r w:rsidR="000C0D05">
        <w:rPr>
          <w:rFonts w:ascii="Times New Roman" w:hAnsi="Times New Roman" w:cs="Times New Roman"/>
          <w:sz w:val="24"/>
          <w:szCs w:val="24"/>
          <w:lang w:val="en-GB"/>
        </w:rPr>
        <w:t>all</w:t>
      </w:r>
      <w:r w:rsidRPr="00050DEF">
        <w:rPr>
          <w:rFonts w:ascii="Times New Roman" w:hAnsi="Times New Roman" w:cs="Times New Roman"/>
          <w:sz w:val="24"/>
          <w:szCs w:val="24"/>
          <w:lang w:val="en-GB"/>
        </w:rPr>
        <w:t xml:space="preserve"> alcohol sold in Denmark. It is the most important</w:t>
      </w:r>
      <w:r w:rsidR="008C543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if not the only genuine</w:t>
      </w:r>
      <w:r w:rsidR="008C543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interest group on the area. </w:t>
      </w:r>
      <w:r w:rsidR="008C5435" w:rsidRPr="00050DEF">
        <w:rPr>
          <w:rFonts w:ascii="Times New Roman" w:hAnsi="Times New Roman" w:cs="Times New Roman"/>
          <w:sz w:val="24"/>
          <w:szCs w:val="24"/>
          <w:lang w:val="en-GB"/>
        </w:rPr>
        <w:t>This implies that</w:t>
      </w:r>
      <w:r w:rsidRPr="00050DEF">
        <w:rPr>
          <w:rFonts w:ascii="Times New Roman" w:hAnsi="Times New Roman" w:cs="Times New Roman"/>
          <w:sz w:val="24"/>
          <w:szCs w:val="24"/>
          <w:lang w:val="en-GB"/>
        </w:rPr>
        <w:t xml:space="preserve"> the interest group population is very stable and consist</w:t>
      </w:r>
      <w:r w:rsidR="000C0D05">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of only one significant interest group, </w:t>
      </w:r>
      <w:r w:rsidR="008C5435" w:rsidRPr="00050DEF">
        <w:rPr>
          <w:rFonts w:ascii="Times New Roman" w:hAnsi="Times New Roman" w:cs="Times New Roman"/>
          <w:sz w:val="24"/>
          <w:szCs w:val="24"/>
          <w:lang w:val="en-GB"/>
        </w:rPr>
        <w:t>fulfilling</w:t>
      </w:r>
      <w:r w:rsidRPr="00050DEF">
        <w:rPr>
          <w:rFonts w:ascii="Times New Roman" w:hAnsi="Times New Roman" w:cs="Times New Roman"/>
          <w:sz w:val="24"/>
          <w:szCs w:val="24"/>
          <w:lang w:val="en-GB"/>
        </w:rPr>
        <w:t xml:space="preserve"> our third case selection requirement. </w:t>
      </w:r>
    </w:p>
    <w:p w14:paraId="3E938562" w14:textId="34856546" w:rsidR="0080725F" w:rsidRPr="00050DEF" w:rsidRDefault="00633FCF" w:rsidP="003C61CE">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A final reason for studying the </w:t>
      </w:r>
      <w:r w:rsidR="009D1417" w:rsidRPr="00050DEF">
        <w:rPr>
          <w:rFonts w:ascii="Times New Roman" w:hAnsi="Times New Roman" w:cs="Times New Roman"/>
          <w:sz w:val="24"/>
          <w:szCs w:val="24"/>
          <w:lang w:val="en-GB"/>
        </w:rPr>
        <w:t xml:space="preserve">Danish </w:t>
      </w:r>
      <w:r w:rsidRPr="00050DEF">
        <w:rPr>
          <w:rFonts w:ascii="Times New Roman" w:hAnsi="Times New Roman" w:cs="Times New Roman"/>
          <w:sz w:val="24"/>
          <w:szCs w:val="24"/>
          <w:lang w:val="en-GB"/>
        </w:rPr>
        <w:t>Brewe</w:t>
      </w:r>
      <w:r w:rsidR="009D1417" w:rsidRPr="00050DEF">
        <w:rPr>
          <w:rFonts w:ascii="Times New Roman" w:hAnsi="Times New Roman" w:cs="Times New Roman"/>
          <w:sz w:val="24"/>
          <w:szCs w:val="24"/>
          <w:lang w:val="en-GB"/>
        </w:rPr>
        <w:t>rs’</w:t>
      </w:r>
      <w:r w:rsidRPr="00050DEF">
        <w:rPr>
          <w:rFonts w:ascii="Times New Roman" w:hAnsi="Times New Roman" w:cs="Times New Roman"/>
          <w:sz w:val="24"/>
          <w:szCs w:val="24"/>
          <w:lang w:val="en-GB"/>
        </w:rPr>
        <w:t xml:space="preserve"> Association is that </w:t>
      </w:r>
      <w:r w:rsidR="008F1805" w:rsidRPr="00050DEF">
        <w:rPr>
          <w:rFonts w:ascii="Times New Roman" w:hAnsi="Times New Roman" w:cs="Times New Roman"/>
          <w:sz w:val="24"/>
          <w:szCs w:val="24"/>
          <w:lang w:val="en-GB"/>
        </w:rPr>
        <w:t xml:space="preserve">it </w:t>
      </w:r>
      <w:r w:rsidRPr="00050DEF">
        <w:rPr>
          <w:rFonts w:ascii="Times New Roman" w:hAnsi="Times New Roman" w:cs="Times New Roman"/>
          <w:sz w:val="24"/>
          <w:szCs w:val="24"/>
          <w:lang w:val="en-GB"/>
        </w:rPr>
        <w:t>issue</w:t>
      </w:r>
      <w:r w:rsidR="008F1805"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quite a large number of press releases and do</w:t>
      </w:r>
      <w:r w:rsidR="00541813" w:rsidRPr="00050DEF">
        <w:rPr>
          <w:rFonts w:ascii="Times New Roman" w:hAnsi="Times New Roman" w:cs="Times New Roman"/>
          <w:sz w:val="24"/>
          <w:szCs w:val="24"/>
          <w:lang w:val="en-GB"/>
        </w:rPr>
        <w:t>es</w:t>
      </w:r>
      <w:r w:rsidRPr="00050DEF">
        <w:rPr>
          <w:rFonts w:ascii="Times New Roman" w:hAnsi="Times New Roman" w:cs="Times New Roman"/>
          <w:sz w:val="24"/>
          <w:szCs w:val="24"/>
          <w:lang w:val="en-GB"/>
        </w:rPr>
        <w:t xml:space="preserve"> so regularly (n = 257). We have been able to collect them through a web-search engine (‘Netarkivet’, accessed through the Danish Royal Library) through which we visited the </w:t>
      </w:r>
      <w:r w:rsidR="008F1805" w:rsidRPr="00050DEF">
        <w:rPr>
          <w:rFonts w:ascii="Times New Roman" w:hAnsi="Times New Roman" w:cs="Times New Roman"/>
          <w:sz w:val="24"/>
          <w:szCs w:val="24"/>
          <w:lang w:val="en-GB"/>
        </w:rPr>
        <w:t xml:space="preserve">webpage of the </w:t>
      </w:r>
      <w:r w:rsidRPr="00050DEF">
        <w:rPr>
          <w:rFonts w:ascii="Times New Roman" w:hAnsi="Times New Roman" w:cs="Times New Roman"/>
          <w:sz w:val="24"/>
          <w:szCs w:val="24"/>
          <w:lang w:val="en-GB"/>
        </w:rPr>
        <w:t>Brewers</w:t>
      </w:r>
      <w:r w:rsidR="003F3C84">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Association back to 2003. In this way, we have a direct, unfiltered measure of the micro-frame in fulfilment of our second criteria. </w:t>
      </w:r>
      <w:r w:rsidR="00013408" w:rsidRPr="00050DEF">
        <w:rPr>
          <w:rFonts w:ascii="Times New Roman" w:hAnsi="Times New Roman" w:cs="Times New Roman"/>
          <w:sz w:val="24"/>
          <w:szCs w:val="24"/>
          <w:lang w:val="en-GB"/>
        </w:rPr>
        <w:t>These p</w:t>
      </w:r>
      <w:r w:rsidR="009F7D02" w:rsidRPr="00050DEF">
        <w:rPr>
          <w:rFonts w:ascii="Times New Roman" w:hAnsi="Times New Roman" w:cs="Times New Roman"/>
          <w:sz w:val="24"/>
          <w:szCs w:val="24"/>
          <w:lang w:val="en-GB"/>
        </w:rPr>
        <w:t>ress releases can be used to measure an interest group</w:t>
      </w:r>
      <w:r w:rsidR="00357C2A" w:rsidRPr="00050DEF">
        <w:rPr>
          <w:rFonts w:ascii="Times New Roman" w:hAnsi="Times New Roman" w:cs="Times New Roman"/>
          <w:sz w:val="24"/>
          <w:szCs w:val="24"/>
          <w:lang w:val="en-GB"/>
        </w:rPr>
        <w:t>’</w:t>
      </w:r>
      <w:r w:rsidR="009F7D02" w:rsidRPr="00050DEF">
        <w:rPr>
          <w:rFonts w:ascii="Times New Roman" w:hAnsi="Times New Roman" w:cs="Times New Roman"/>
          <w:sz w:val="24"/>
          <w:szCs w:val="24"/>
          <w:lang w:val="en-GB"/>
        </w:rPr>
        <w:t>s micro-framing because they are cra</w:t>
      </w:r>
      <w:r w:rsidR="009C615D" w:rsidRPr="00050DEF">
        <w:rPr>
          <w:rFonts w:ascii="Times New Roman" w:hAnsi="Times New Roman" w:cs="Times New Roman"/>
          <w:sz w:val="24"/>
          <w:szCs w:val="24"/>
          <w:lang w:val="en-GB"/>
        </w:rPr>
        <w:t>f</w:t>
      </w:r>
      <w:r w:rsidR="009F7D02" w:rsidRPr="00050DEF">
        <w:rPr>
          <w:rFonts w:ascii="Times New Roman" w:hAnsi="Times New Roman" w:cs="Times New Roman"/>
          <w:sz w:val="24"/>
          <w:szCs w:val="24"/>
          <w:lang w:val="en-GB"/>
        </w:rPr>
        <w:t>ted and issue</w:t>
      </w:r>
      <w:r w:rsidR="009C615D" w:rsidRPr="00050DEF">
        <w:rPr>
          <w:rFonts w:ascii="Times New Roman" w:hAnsi="Times New Roman" w:cs="Times New Roman"/>
          <w:sz w:val="24"/>
          <w:szCs w:val="24"/>
          <w:lang w:val="en-GB"/>
        </w:rPr>
        <w:t>d</w:t>
      </w:r>
      <w:r w:rsidR="009F7D02" w:rsidRPr="00050DEF">
        <w:rPr>
          <w:rFonts w:ascii="Times New Roman" w:hAnsi="Times New Roman" w:cs="Times New Roman"/>
          <w:sz w:val="24"/>
          <w:szCs w:val="24"/>
          <w:lang w:val="en-GB"/>
        </w:rPr>
        <w:t xml:space="preserve"> to be picked up by the media and to </w:t>
      </w:r>
      <w:r w:rsidR="009C615D" w:rsidRPr="00050DEF">
        <w:rPr>
          <w:rFonts w:ascii="Times New Roman" w:hAnsi="Times New Roman" w:cs="Times New Roman"/>
          <w:sz w:val="24"/>
          <w:szCs w:val="24"/>
          <w:lang w:val="en-GB"/>
        </w:rPr>
        <w:t>reach a large</w:t>
      </w:r>
      <w:r w:rsidR="009F7D02" w:rsidRPr="00050DEF">
        <w:rPr>
          <w:rFonts w:ascii="Times New Roman" w:hAnsi="Times New Roman" w:cs="Times New Roman"/>
          <w:sz w:val="24"/>
          <w:szCs w:val="24"/>
          <w:lang w:val="en-GB"/>
        </w:rPr>
        <w:t xml:space="preserve"> audience. Press releases are </w:t>
      </w:r>
      <w:r w:rsidR="009C615D" w:rsidRPr="00050DEF">
        <w:rPr>
          <w:rFonts w:ascii="Times New Roman" w:hAnsi="Times New Roman" w:cs="Times New Roman"/>
          <w:sz w:val="24"/>
          <w:szCs w:val="24"/>
          <w:lang w:val="en-GB"/>
        </w:rPr>
        <w:t xml:space="preserve">short and </w:t>
      </w:r>
      <w:r w:rsidR="009F7D02" w:rsidRPr="00050DEF">
        <w:rPr>
          <w:rFonts w:ascii="Times New Roman" w:hAnsi="Times New Roman" w:cs="Times New Roman"/>
          <w:sz w:val="24"/>
          <w:szCs w:val="24"/>
          <w:lang w:val="en-GB"/>
        </w:rPr>
        <w:t>easy to draft and publish</w:t>
      </w:r>
      <w:r w:rsidR="009C615D" w:rsidRPr="00050DEF">
        <w:rPr>
          <w:rFonts w:ascii="Times New Roman" w:hAnsi="Times New Roman" w:cs="Times New Roman"/>
          <w:sz w:val="24"/>
          <w:szCs w:val="24"/>
          <w:lang w:val="en-GB"/>
        </w:rPr>
        <w:t>,</w:t>
      </w:r>
      <w:r w:rsidR="009F7D02" w:rsidRPr="00050DEF">
        <w:rPr>
          <w:rFonts w:ascii="Times New Roman" w:hAnsi="Times New Roman" w:cs="Times New Roman"/>
          <w:sz w:val="24"/>
          <w:szCs w:val="24"/>
          <w:lang w:val="en-GB"/>
        </w:rPr>
        <w:t xml:space="preserve"> and we can therefore expect them to be widely used. </w:t>
      </w:r>
      <w:r w:rsidR="00013408" w:rsidRPr="00050DEF">
        <w:rPr>
          <w:rFonts w:ascii="Times New Roman" w:hAnsi="Times New Roman" w:cs="Times New Roman"/>
          <w:sz w:val="24"/>
          <w:szCs w:val="24"/>
          <w:lang w:val="en-GB"/>
        </w:rPr>
        <w:t xml:space="preserve">Studies using press releases </w:t>
      </w:r>
      <w:r w:rsidR="00453151" w:rsidRPr="00050DEF">
        <w:rPr>
          <w:rFonts w:ascii="Times New Roman" w:hAnsi="Times New Roman" w:cs="Times New Roman"/>
          <w:sz w:val="24"/>
          <w:szCs w:val="24"/>
          <w:lang w:val="en-GB"/>
        </w:rPr>
        <w:t>are</w:t>
      </w:r>
      <w:r w:rsidR="00013408" w:rsidRPr="00050DEF">
        <w:rPr>
          <w:rFonts w:ascii="Times New Roman" w:hAnsi="Times New Roman" w:cs="Times New Roman"/>
          <w:sz w:val="24"/>
          <w:szCs w:val="24"/>
          <w:lang w:val="en-GB"/>
        </w:rPr>
        <w:t xml:space="preserve"> therefore becoming more widespread in party research (</w:t>
      </w:r>
      <w:r w:rsidR="00CA222A">
        <w:rPr>
          <w:rFonts w:ascii="Times New Roman" w:hAnsi="Times New Roman" w:cs="Times New Roman"/>
          <w:sz w:val="24"/>
          <w:szCs w:val="24"/>
          <w:lang w:val="en-GB"/>
        </w:rPr>
        <w:t xml:space="preserve">see, e.g., </w:t>
      </w:r>
      <w:r w:rsidR="00013408" w:rsidRPr="00050DEF">
        <w:rPr>
          <w:rFonts w:ascii="Times New Roman" w:hAnsi="Times New Roman" w:cs="Times New Roman"/>
          <w:sz w:val="24"/>
          <w:szCs w:val="24"/>
          <w:lang w:val="en-GB"/>
        </w:rPr>
        <w:t>Sagarzazu and Klüver 2017)</w:t>
      </w:r>
      <w:r w:rsidR="00BA70F3" w:rsidRPr="00050DEF">
        <w:rPr>
          <w:rFonts w:ascii="Times New Roman" w:hAnsi="Times New Roman" w:cs="Times New Roman"/>
          <w:sz w:val="24"/>
          <w:szCs w:val="24"/>
          <w:lang w:val="en-GB"/>
        </w:rPr>
        <w:t>,</w:t>
      </w:r>
      <w:r w:rsidR="00013408" w:rsidRPr="00050DEF">
        <w:rPr>
          <w:rFonts w:ascii="Times New Roman" w:hAnsi="Times New Roman" w:cs="Times New Roman"/>
          <w:sz w:val="24"/>
          <w:szCs w:val="24"/>
          <w:lang w:val="en-GB"/>
        </w:rPr>
        <w:t xml:space="preserve"> and </w:t>
      </w:r>
      <w:r w:rsidR="00BA70F3" w:rsidRPr="00050DEF">
        <w:rPr>
          <w:rFonts w:ascii="Times New Roman" w:hAnsi="Times New Roman" w:cs="Times New Roman"/>
          <w:sz w:val="24"/>
          <w:szCs w:val="24"/>
          <w:lang w:val="en-GB"/>
        </w:rPr>
        <w:t xml:space="preserve">they are </w:t>
      </w:r>
      <w:r w:rsidR="00013408" w:rsidRPr="00050DEF">
        <w:rPr>
          <w:rFonts w:ascii="Times New Roman" w:hAnsi="Times New Roman" w:cs="Times New Roman"/>
          <w:sz w:val="24"/>
          <w:szCs w:val="24"/>
          <w:lang w:val="en-GB"/>
        </w:rPr>
        <w:t xml:space="preserve">slowly emerging also in interest group research (Boumans 2018). </w:t>
      </w:r>
      <w:r w:rsidR="009F7D02" w:rsidRPr="00050DEF">
        <w:rPr>
          <w:rFonts w:ascii="Times New Roman" w:hAnsi="Times New Roman" w:cs="Times New Roman"/>
          <w:sz w:val="24"/>
          <w:szCs w:val="24"/>
          <w:lang w:val="en-GB"/>
        </w:rPr>
        <w:t xml:space="preserve">This is not to say that press releases provide the full picture of an </w:t>
      </w:r>
      <w:r w:rsidR="009F7D02" w:rsidRPr="00050DEF">
        <w:rPr>
          <w:rFonts w:ascii="Times New Roman" w:hAnsi="Times New Roman" w:cs="Times New Roman"/>
          <w:sz w:val="24"/>
          <w:szCs w:val="24"/>
          <w:lang w:val="en-GB"/>
        </w:rPr>
        <w:lastRenderedPageBreak/>
        <w:t>interest group</w:t>
      </w:r>
      <w:r w:rsidR="00357C2A" w:rsidRPr="00050DEF">
        <w:rPr>
          <w:rFonts w:ascii="Times New Roman" w:hAnsi="Times New Roman" w:cs="Times New Roman"/>
          <w:sz w:val="24"/>
          <w:szCs w:val="24"/>
          <w:lang w:val="en-GB"/>
        </w:rPr>
        <w:t>’</w:t>
      </w:r>
      <w:r w:rsidR="009F7D02" w:rsidRPr="00050DEF">
        <w:rPr>
          <w:rFonts w:ascii="Times New Roman" w:hAnsi="Times New Roman" w:cs="Times New Roman"/>
          <w:sz w:val="24"/>
          <w:szCs w:val="24"/>
          <w:lang w:val="en-GB"/>
        </w:rPr>
        <w:t xml:space="preserve">s public affairs strategy. </w:t>
      </w:r>
      <w:r w:rsidR="00357C2A" w:rsidRPr="00050DEF">
        <w:rPr>
          <w:rFonts w:ascii="Times New Roman" w:hAnsi="Times New Roman" w:cs="Times New Roman"/>
          <w:sz w:val="24"/>
          <w:szCs w:val="24"/>
          <w:lang w:val="en-GB"/>
        </w:rPr>
        <w:t>An interest group</w:t>
      </w:r>
      <w:r w:rsidR="009F7D02" w:rsidRPr="00050DEF">
        <w:rPr>
          <w:rFonts w:ascii="Times New Roman" w:hAnsi="Times New Roman" w:cs="Times New Roman"/>
          <w:sz w:val="24"/>
          <w:szCs w:val="24"/>
          <w:lang w:val="en-GB"/>
        </w:rPr>
        <w:t xml:space="preserve"> probably also relies on </w:t>
      </w:r>
      <w:r w:rsidR="00634012" w:rsidRPr="00050DEF">
        <w:rPr>
          <w:rFonts w:ascii="Times New Roman" w:hAnsi="Times New Roman" w:cs="Times New Roman"/>
          <w:sz w:val="24"/>
          <w:szCs w:val="24"/>
          <w:lang w:val="en-GB"/>
        </w:rPr>
        <w:t>personal</w:t>
      </w:r>
      <w:r w:rsidR="009F7D02" w:rsidRPr="00050DEF">
        <w:rPr>
          <w:rFonts w:ascii="Times New Roman" w:hAnsi="Times New Roman" w:cs="Times New Roman"/>
          <w:sz w:val="24"/>
          <w:szCs w:val="24"/>
          <w:lang w:val="en-GB"/>
        </w:rPr>
        <w:t xml:space="preserve"> connections to journalists. </w:t>
      </w:r>
      <w:r w:rsidR="00634012" w:rsidRPr="00050DEF">
        <w:rPr>
          <w:rFonts w:ascii="Times New Roman" w:hAnsi="Times New Roman" w:cs="Times New Roman"/>
          <w:sz w:val="24"/>
          <w:szCs w:val="24"/>
          <w:lang w:val="en-GB"/>
        </w:rPr>
        <w:t>Yet, to get an issue across, w</w:t>
      </w:r>
      <w:r w:rsidR="009F7D02" w:rsidRPr="00050DEF">
        <w:rPr>
          <w:rFonts w:ascii="Times New Roman" w:hAnsi="Times New Roman" w:cs="Times New Roman"/>
          <w:sz w:val="24"/>
          <w:szCs w:val="24"/>
          <w:lang w:val="en-GB"/>
        </w:rPr>
        <w:t xml:space="preserve">e expect that a call to a journalist is usually supplemented with </w:t>
      </w:r>
      <w:r w:rsidR="00357C2A" w:rsidRPr="00050DEF">
        <w:rPr>
          <w:rFonts w:ascii="Times New Roman" w:hAnsi="Times New Roman" w:cs="Times New Roman"/>
          <w:sz w:val="24"/>
          <w:szCs w:val="24"/>
          <w:lang w:val="en-GB"/>
        </w:rPr>
        <w:t xml:space="preserve">the issuing of </w:t>
      </w:r>
      <w:r w:rsidR="00634012" w:rsidRPr="00050DEF">
        <w:rPr>
          <w:rFonts w:ascii="Times New Roman" w:hAnsi="Times New Roman" w:cs="Times New Roman"/>
          <w:sz w:val="24"/>
          <w:szCs w:val="24"/>
          <w:lang w:val="en-GB"/>
        </w:rPr>
        <w:t>a press release.</w:t>
      </w:r>
    </w:p>
    <w:p w14:paraId="3C70DA24" w14:textId="5D13F21A" w:rsidR="003C61CE" w:rsidRPr="00050DEF" w:rsidRDefault="003C61CE" w:rsidP="003C61CE">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To measure the micro-frame, the press releases were content coded into nine categories: VAT, packaging, shopping at the German border</w:t>
      </w:r>
      <w:r w:rsidR="005A0E40" w:rsidRPr="00050DEF">
        <w:rPr>
          <w:rFonts w:ascii="Times New Roman" w:hAnsi="Times New Roman" w:cs="Times New Roman"/>
          <w:sz w:val="24"/>
          <w:szCs w:val="24"/>
          <w:lang w:val="en-GB"/>
        </w:rPr>
        <w:t xml:space="preserve"> (a major issue in Denmark, which has higher prices than Germany)</w:t>
      </w:r>
      <w:r w:rsidRPr="00050DEF">
        <w:rPr>
          <w:rFonts w:ascii="Times New Roman" w:hAnsi="Times New Roman" w:cs="Times New Roman"/>
          <w:sz w:val="24"/>
          <w:szCs w:val="24"/>
          <w:lang w:val="en-GB"/>
        </w:rPr>
        <w:t>, marketing, organi</w:t>
      </w:r>
      <w:r w:rsidR="002B2A8C">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ation, VAT on products sold at the German border, nutrition, consumer, and social responsibility. We grouped the former six categories into a </w:t>
      </w:r>
      <w:r w:rsidR="002B2A8C">
        <w:rPr>
          <w:rFonts w:ascii="Times New Roman" w:hAnsi="Times New Roman" w:cs="Times New Roman"/>
          <w:sz w:val="24"/>
          <w:szCs w:val="24"/>
          <w:lang w:val="en-GB"/>
        </w:rPr>
        <w:t>‘</w:t>
      </w:r>
      <w:r w:rsidRPr="00050DEF">
        <w:rPr>
          <w:rFonts w:ascii="Times New Roman" w:hAnsi="Times New Roman" w:cs="Times New Roman"/>
          <w:sz w:val="24"/>
          <w:szCs w:val="24"/>
          <w:lang w:val="en-GB"/>
        </w:rPr>
        <w:t>business frame</w:t>
      </w:r>
      <w:r w:rsidR="002B2A8C">
        <w:rPr>
          <w:rFonts w:ascii="Times New Roman" w:hAnsi="Times New Roman" w:cs="Times New Roman"/>
          <w:sz w:val="24"/>
          <w:szCs w:val="24"/>
          <w:lang w:val="en-GB"/>
        </w:rPr>
        <w:t>’</w:t>
      </w:r>
      <w:r w:rsidR="003F588C" w:rsidRPr="00050DEF">
        <w:rPr>
          <w:rFonts w:ascii="Times New Roman" w:hAnsi="Times New Roman" w:cs="Times New Roman"/>
          <w:sz w:val="24"/>
          <w:szCs w:val="24"/>
          <w:lang w:val="en-GB"/>
        </w:rPr>
        <w:t xml:space="preserve"> that reflect</w:t>
      </w:r>
      <w:r w:rsidR="00BA70F3" w:rsidRPr="00050DEF">
        <w:rPr>
          <w:rFonts w:ascii="Times New Roman" w:hAnsi="Times New Roman" w:cs="Times New Roman"/>
          <w:sz w:val="24"/>
          <w:szCs w:val="24"/>
          <w:lang w:val="en-GB"/>
        </w:rPr>
        <w:t>s</w:t>
      </w:r>
      <w:r w:rsidR="00634012" w:rsidRPr="00050DEF">
        <w:rPr>
          <w:rFonts w:ascii="Times New Roman" w:hAnsi="Times New Roman" w:cs="Times New Roman"/>
          <w:sz w:val="24"/>
          <w:szCs w:val="24"/>
          <w:lang w:val="en-GB"/>
        </w:rPr>
        <w:t xml:space="preserve"> what is typically termed</w:t>
      </w:r>
      <w:r w:rsidR="003F588C" w:rsidRPr="00050DEF">
        <w:rPr>
          <w:rFonts w:ascii="Times New Roman" w:hAnsi="Times New Roman" w:cs="Times New Roman"/>
          <w:sz w:val="24"/>
          <w:szCs w:val="24"/>
          <w:lang w:val="en-GB"/>
        </w:rPr>
        <w:t xml:space="preserve"> the narrow economic or private interests of the Brewers Association</w:t>
      </w:r>
      <w:r w:rsidRPr="00050DEF">
        <w:rPr>
          <w:rFonts w:ascii="Times New Roman" w:hAnsi="Times New Roman" w:cs="Times New Roman"/>
          <w:sz w:val="24"/>
          <w:szCs w:val="24"/>
          <w:lang w:val="en-GB"/>
        </w:rPr>
        <w:t xml:space="preserve"> and the latter three into a non-business frame</w:t>
      </w:r>
      <w:r w:rsidR="005A0E40" w:rsidRPr="00050DEF">
        <w:rPr>
          <w:rFonts w:ascii="Times New Roman" w:hAnsi="Times New Roman" w:cs="Times New Roman"/>
          <w:sz w:val="24"/>
          <w:szCs w:val="24"/>
          <w:lang w:val="en-GB"/>
        </w:rPr>
        <w:t xml:space="preserve">, which may be viewed as </w:t>
      </w:r>
      <w:r w:rsidR="003F588C" w:rsidRPr="00050DEF">
        <w:rPr>
          <w:rFonts w:ascii="Times New Roman" w:hAnsi="Times New Roman" w:cs="Times New Roman"/>
          <w:sz w:val="24"/>
          <w:szCs w:val="24"/>
          <w:lang w:val="en-GB"/>
        </w:rPr>
        <w:t>reflecting the public interests and</w:t>
      </w:r>
      <w:r w:rsidR="002B2A8C">
        <w:rPr>
          <w:rFonts w:ascii="Times New Roman" w:hAnsi="Times New Roman" w:cs="Times New Roman"/>
          <w:sz w:val="24"/>
          <w:szCs w:val="24"/>
          <w:lang w:val="en-GB"/>
        </w:rPr>
        <w:t>,</w:t>
      </w:r>
      <w:r w:rsidR="003F588C" w:rsidRPr="00050DEF">
        <w:rPr>
          <w:rFonts w:ascii="Times New Roman" w:hAnsi="Times New Roman" w:cs="Times New Roman"/>
          <w:sz w:val="24"/>
          <w:szCs w:val="24"/>
          <w:lang w:val="en-GB"/>
        </w:rPr>
        <w:t xml:space="preserve"> hence, </w:t>
      </w:r>
      <w:r w:rsidR="005A0E40" w:rsidRPr="00050DEF">
        <w:rPr>
          <w:rFonts w:ascii="Times New Roman" w:hAnsi="Times New Roman" w:cs="Times New Roman"/>
          <w:sz w:val="24"/>
          <w:szCs w:val="24"/>
          <w:lang w:val="en-GB"/>
        </w:rPr>
        <w:t xml:space="preserve">a response to the </w:t>
      </w:r>
      <w:r w:rsidR="002B2A8C">
        <w:rPr>
          <w:rFonts w:ascii="Times New Roman" w:hAnsi="Times New Roman" w:cs="Times New Roman"/>
          <w:sz w:val="24"/>
          <w:szCs w:val="24"/>
          <w:lang w:val="en-GB"/>
        </w:rPr>
        <w:t>‘</w:t>
      </w:r>
      <w:r w:rsidR="005A0E40" w:rsidRPr="00050DEF">
        <w:rPr>
          <w:rFonts w:ascii="Times New Roman" w:hAnsi="Times New Roman" w:cs="Times New Roman"/>
          <w:sz w:val="24"/>
          <w:szCs w:val="24"/>
          <w:lang w:val="en-GB"/>
        </w:rPr>
        <w:t>danger frame</w:t>
      </w:r>
      <w:r w:rsidR="002B2A8C">
        <w:rPr>
          <w:rFonts w:ascii="Times New Roman" w:hAnsi="Times New Roman" w:cs="Times New Roman"/>
          <w:sz w:val="24"/>
          <w:szCs w:val="24"/>
          <w:lang w:val="en-GB"/>
        </w:rPr>
        <w:t>’</w:t>
      </w:r>
      <w:r w:rsidR="005A0E40" w:rsidRPr="00050DEF">
        <w:rPr>
          <w:rFonts w:ascii="Times New Roman" w:hAnsi="Times New Roman" w:cs="Times New Roman"/>
          <w:sz w:val="24"/>
          <w:szCs w:val="24"/>
          <w:lang w:val="en-GB"/>
        </w:rPr>
        <w:t xml:space="preserve"> of the public agenda (cf. immediately below)</w:t>
      </w:r>
      <w:r w:rsidRPr="00050DEF">
        <w:rPr>
          <w:rFonts w:ascii="Times New Roman" w:hAnsi="Times New Roman" w:cs="Times New Roman"/>
          <w:sz w:val="24"/>
          <w:szCs w:val="24"/>
          <w:lang w:val="en-GB"/>
        </w:rPr>
        <w:t xml:space="preserve">. </w:t>
      </w:r>
      <w:r w:rsidR="00F62C16" w:rsidRPr="00050DEF">
        <w:rPr>
          <w:rFonts w:ascii="Times New Roman" w:hAnsi="Times New Roman" w:cs="Times New Roman"/>
          <w:sz w:val="24"/>
          <w:szCs w:val="24"/>
          <w:lang w:val="en-GB"/>
        </w:rPr>
        <w:t xml:space="preserve">Such </w:t>
      </w:r>
      <w:r w:rsidR="002B2A8C">
        <w:rPr>
          <w:rFonts w:ascii="Times New Roman" w:hAnsi="Times New Roman" w:cs="Times New Roman"/>
          <w:sz w:val="24"/>
          <w:szCs w:val="24"/>
          <w:lang w:val="en-GB"/>
        </w:rPr>
        <w:t xml:space="preserve">a </w:t>
      </w:r>
      <w:r w:rsidR="00F62C16" w:rsidRPr="00050DEF">
        <w:rPr>
          <w:rFonts w:ascii="Times New Roman" w:hAnsi="Times New Roman" w:cs="Times New Roman"/>
          <w:sz w:val="24"/>
          <w:szCs w:val="24"/>
          <w:lang w:val="en-GB"/>
        </w:rPr>
        <w:t>business vs health hazard and security separation is common in other framing</w:t>
      </w:r>
      <w:r w:rsidR="002B2A8C">
        <w:rPr>
          <w:rFonts w:ascii="Times New Roman" w:hAnsi="Times New Roman" w:cs="Times New Roman"/>
          <w:sz w:val="24"/>
          <w:szCs w:val="24"/>
          <w:lang w:val="en-GB"/>
        </w:rPr>
        <w:t xml:space="preserve"> </w:t>
      </w:r>
      <w:r w:rsidR="00F62C16" w:rsidRPr="00050DEF">
        <w:rPr>
          <w:rFonts w:ascii="Times New Roman" w:hAnsi="Times New Roman" w:cs="Times New Roman"/>
          <w:sz w:val="24"/>
          <w:szCs w:val="24"/>
          <w:lang w:val="en-GB"/>
        </w:rPr>
        <w:t xml:space="preserve">studies (Baumgartner and Jones 1993; Euchner et al. 2013). </w:t>
      </w:r>
    </w:p>
    <w:p w14:paraId="506D733D" w14:textId="062A8C72" w:rsidR="003F588C" w:rsidRPr="00050DEF" w:rsidRDefault="003F588C" w:rsidP="00D57EA9">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We operationali</w:t>
      </w:r>
      <w:r w:rsidR="002B2A8C">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e </w:t>
      </w:r>
      <w:r w:rsidRPr="00050DEF">
        <w:rPr>
          <w:rFonts w:ascii="Times New Roman" w:hAnsi="Times New Roman" w:cs="Times New Roman"/>
          <w:i/>
          <w:sz w:val="24"/>
          <w:szCs w:val="24"/>
          <w:lang w:val="en-GB"/>
        </w:rPr>
        <w:t xml:space="preserve">exit </w:t>
      </w:r>
      <w:r w:rsidRPr="00050DEF">
        <w:rPr>
          <w:rFonts w:ascii="Times New Roman" w:hAnsi="Times New Roman" w:cs="Times New Roman"/>
          <w:sz w:val="24"/>
          <w:szCs w:val="24"/>
          <w:lang w:val="en-GB"/>
        </w:rPr>
        <w:t>as the absence of press releases</w:t>
      </w:r>
      <w:r w:rsidR="00D57EA9" w:rsidRPr="00050DEF">
        <w:rPr>
          <w:rFonts w:ascii="Times New Roman" w:hAnsi="Times New Roman" w:cs="Times New Roman"/>
          <w:sz w:val="24"/>
          <w:szCs w:val="24"/>
          <w:lang w:val="en-GB"/>
        </w:rPr>
        <w:t xml:space="preserve"> (on any topic)</w:t>
      </w:r>
      <w:r w:rsidRPr="00050DEF">
        <w:rPr>
          <w:rFonts w:ascii="Times New Roman" w:hAnsi="Times New Roman" w:cs="Times New Roman"/>
          <w:sz w:val="24"/>
          <w:szCs w:val="24"/>
          <w:lang w:val="en-GB"/>
        </w:rPr>
        <w:t xml:space="preserve">, and acceptance, rejection, and avoidance are distinguished by the content of </w:t>
      </w:r>
      <w:r w:rsidR="009E19F7" w:rsidRPr="00050DEF">
        <w:rPr>
          <w:rFonts w:ascii="Times New Roman" w:hAnsi="Times New Roman" w:cs="Times New Roman"/>
          <w:sz w:val="24"/>
          <w:szCs w:val="24"/>
          <w:lang w:val="en-GB"/>
        </w:rPr>
        <w:t>a</w:t>
      </w:r>
      <w:r w:rsidRPr="00050DEF">
        <w:rPr>
          <w:rFonts w:ascii="Times New Roman" w:hAnsi="Times New Roman" w:cs="Times New Roman"/>
          <w:sz w:val="24"/>
          <w:szCs w:val="24"/>
          <w:lang w:val="en-GB"/>
        </w:rPr>
        <w:t xml:space="preserve"> press releases. </w:t>
      </w:r>
      <w:r w:rsidR="008454BE" w:rsidRPr="00050DEF">
        <w:rPr>
          <w:rFonts w:ascii="Times New Roman" w:hAnsi="Times New Roman" w:cs="Times New Roman"/>
          <w:sz w:val="24"/>
          <w:szCs w:val="24"/>
          <w:lang w:val="en-GB"/>
        </w:rPr>
        <w:t xml:space="preserve">Moreover, we can see </w:t>
      </w:r>
      <w:r w:rsidR="008454BE" w:rsidRPr="00050DEF">
        <w:rPr>
          <w:rFonts w:ascii="Times New Roman" w:hAnsi="Times New Roman" w:cs="Times New Roman"/>
          <w:i/>
          <w:sz w:val="24"/>
          <w:szCs w:val="24"/>
          <w:lang w:val="en-GB"/>
        </w:rPr>
        <w:t>exit</w:t>
      </w:r>
      <w:r w:rsidR="008454BE" w:rsidRPr="00050DEF">
        <w:rPr>
          <w:rFonts w:ascii="Times New Roman" w:hAnsi="Times New Roman" w:cs="Times New Roman"/>
          <w:sz w:val="24"/>
          <w:szCs w:val="24"/>
          <w:lang w:val="en-GB"/>
        </w:rPr>
        <w:t xml:space="preserve"> in newspaper articles if the</w:t>
      </w:r>
      <w:r w:rsidR="00E234E0" w:rsidRPr="00050DEF">
        <w:rPr>
          <w:rFonts w:ascii="Times New Roman" w:hAnsi="Times New Roman" w:cs="Times New Roman"/>
          <w:sz w:val="24"/>
          <w:szCs w:val="24"/>
          <w:lang w:val="en-GB"/>
        </w:rPr>
        <w:t xml:space="preserve">y do not mention the </w:t>
      </w:r>
      <w:r w:rsidR="008454BE" w:rsidRPr="00050DEF">
        <w:rPr>
          <w:rFonts w:ascii="Times New Roman" w:hAnsi="Times New Roman" w:cs="Times New Roman"/>
          <w:sz w:val="24"/>
          <w:szCs w:val="24"/>
          <w:lang w:val="en-GB"/>
        </w:rPr>
        <w:t xml:space="preserve">interest group as </w:t>
      </w:r>
      <w:r w:rsidR="00E234E0" w:rsidRPr="00050DEF">
        <w:rPr>
          <w:rFonts w:ascii="Times New Roman" w:hAnsi="Times New Roman" w:cs="Times New Roman"/>
          <w:sz w:val="24"/>
          <w:szCs w:val="24"/>
          <w:lang w:val="en-GB"/>
        </w:rPr>
        <w:t>a participant</w:t>
      </w:r>
      <w:r w:rsidR="008454BE" w:rsidRPr="00050DEF">
        <w:rPr>
          <w:rFonts w:ascii="Times New Roman" w:hAnsi="Times New Roman" w:cs="Times New Roman"/>
          <w:sz w:val="24"/>
          <w:szCs w:val="24"/>
          <w:lang w:val="en-GB"/>
        </w:rPr>
        <w:t xml:space="preserve"> in the debate. Press releases and/or media activity implies that the interest group is active in the debate, but we need content coding of press releases to determine how it engages. </w:t>
      </w:r>
      <w:r w:rsidRPr="00050DEF">
        <w:rPr>
          <w:rFonts w:ascii="Times New Roman" w:hAnsi="Times New Roman" w:cs="Times New Roman"/>
          <w:sz w:val="24"/>
          <w:szCs w:val="24"/>
          <w:lang w:val="en-GB"/>
        </w:rPr>
        <w:t>We operationali</w:t>
      </w:r>
      <w:r w:rsidR="008D52DC">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e </w:t>
      </w:r>
      <w:r w:rsidRPr="00050DEF">
        <w:rPr>
          <w:rFonts w:ascii="Times New Roman" w:hAnsi="Times New Roman" w:cs="Times New Roman"/>
          <w:i/>
          <w:sz w:val="24"/>
          <w:szCs w:val="24"/>
          <w:lang w:val="en-GB"/>
        </w:rPr>
        <w:t>acceptance</w:t>
      </w:r>
      <w:r w:rsidRPr="00050DEF">
        <w:rPr>
          <w:rFonts w:ascii="Times New Roman" w:hAnsi="Times New Roman" w:cs="Times New Roman"/>
          <w:sz w:val="24"/>
          <w:szCs w:val="24"/>
          <w:lang w:val="en-GB"/>
        </w:rPr>
        <w:t xml:space="preserve"> as the press releases that </w:t>
      </w:r>
      <w:r w:rsidR="00D57EA9" w:rsidRPr="00050DEF">
        <w:rPr>
          <w:rFonts w:ascii="Times New Roman" w:hAnsi="Times New Roman" w:cs="Times New Roman"/>
          <w:sz w:val="24"/>
          <w:szCs w:val="24"/>
          <w:lang w:val="en-GB"/>
        </w:rPr>
        <w:t xml:space="preserve">focus on </w:t>
      </w:r>
      <w:r w:rsidRPr="00050DEF">
        <w:rPr>
          <w:rFonts w:ascii="Times New Roman" w:hAnsi="Times New Roman" w:cs="Times New Roman"/>
          <w:sz w:val="24"/>
          <w:szCs w:val="24"/>
          <w:lang w:val="en-GB"/>
        </w:rPr>
        <w:t>the macro-frame</w:t>
      </w:r>
      <w:r w:rsidR="00D57EA9" w:rsidRPr="00050DEF">
        <w:rPr>
          <w:rFonts w:ascii="Times New Roman" w:hAnsi="Times New Roman" w:cs="Times New Roman"/>
          <w:sz w:val="24"/>
          <w:szCs w:val="24"/>
          <w:lang w:val="en-GB"/>
        </w:rPr>
        <w:t xml:space="preserve"> and accepts the danger frame, </w:t>
      </w:r>
      <w:r w:rsidR="00D57EA9" w:rsidRPr="00050DEF">
        <w:rPr>
          <w:rFonts w:ascii="Times New Roman" w:hAnsi="Times New Roman" w:cs="Times New Roman"/>
          <w:i/>
          <w:sz w:val="24"/>
          <w:szCs w:val="24"/>
          <w:lang w:val="en-GB"/>
        </w:rPr>
        <w:t>rejection</w:t>
      </w:r>
      <w:r w:rsidR="00D57EA9" w:rsidRPr="00050DEF">
        <w:rPr>
          <w:rFonts w:ascii="Times New Roman" w:hAnsi="Times New Roman" w:cs="Times New Roman"/>
          <w:sz w:val="24"/>
          <w:szCs w:val="24"/>
          <w:lang w:val="en-GB"/>
        </w:rPr>
        <w:t xml:space="preserve"> as the press releases that focus on the macro-frame but rejects the danger frame and/or use the micro business frame, and </w:t>
      </w:r>
      <w:r w:rsidR="00D57EA9" w:rsidRPr="00050DEF">
        <w:rPr>
          <w:rFonts w:ascii="Times New Roman" w:hAnsi="Times New Roman" w:cs="Times New Roman"/>
          <w:i/>
          <w:sz w:val="24"/>
          <w:szCs w:val="24"/>
          <w:lang w:val="en-GB"/>
        </w:rPr>
        <w:t>avoidance</w:t>
      </w:r>
      <w:r w:rsidR="00D57EA9" w:rsidRPr="00050DEF">
        <w:rPr>
          <w:rFonts w:ascii="Times New Roman" w:hAnsi="Times New Roman" w:cs="Times New Roman"/>
          <w:sz w:val="24"/>
          <w:szCs w:val="24"/>
          <w:lang w:val="en-GB"/>
        </w:rPr>
        <w:t xml:space="preserve"> as the press releases that focus on another topic than the danger and business</w:t>
      </w:r>
      <w:r w:rsidR="008D52DC">
        <w:rPr>
          <w:rFonts w:ascii="Times New Roman" w:hAnsi="Times New Roman" w:cs="Times New Roman"/>
          <w:sz w:val="24"/>
          <w:szCs w:val="24"/>
          <w:lang w:val="en-GB"/>
        </w:rPr>
        <w:t xml:space="preserve"> </w:t>
      </w:r>
      <w:r w:rsidR="00D57EA9" w:rsidRPr="00050DEF">
        <w:rPr>
          <w:rFonts w:ascii="Times New Roman" w:hAnsi="Times New Roman" w:cs="Times New Roman"/>
          <w:sz w:val="24"/>
          <w:szCs w:val="24"/>
          <w:lang w:val="en-GB"/>
        </w:rPr>
        <w:t>frame</w:t>
      </w:r>
      <w:r w:rsidR="009E19F7" w:rsidRPr="00050DEF">
        <w:rPr>
          <w:rFonts w:ascii="Times New Roman" w:hAnsi="Times New Roman" w:cs="Times New Roman"/>
          <w:sz w:val="24"/>
          <w:szCs w:val="24"/>
          <w:lang w:val="en-GB"/>
        </w:rPr>
        <w:t>s</w:t>
      </w:r>
      <w:r w:rsidR="00D57EA9" w:rsidRPr="00050DEF">
        <w:rPr>
          <w:rFonts w:ascii="Times New Roman" w:hAnsi="Times New Roman" w:cs="Times New Roman"/>
          <w:sz w:val="24"/>
          <w:szCs w:val="24"/>
          <w:lang w:val="en-GB"/>
        </w:rPr>
        <w:t xml:space="preserve">. </w:t>
      </w:r>
    </w:p>
    <w:p w14:paraId="11EAD509" w14:textId="3D2A091A" w:rsidR="00633FCF" w:rsidRPr="00050DEF" w:rsidRDefault="00CB5094"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A</w:t>
      </w:r>
      <w:r w:rsidR="008D52DC">
        <w:rPr>
          <w:rFonts w:ascii="Times New Roman" w:hAnsi="Times New Roman" w:cs="Times New Roman"/>
          <w:sz w:val="24"/>
          <w:szCs w:val="24"/>
          <w:lang w:val="en-GB"/>
        </w:rPr>
        <w:t>s noted before, a</w:t>
      </w:r>
      <w:r w:rsidRPr="00050DEF">
        <w:rPr>
          <w:rFonts w:ascii="Times New Roman" w:hAnsi="Times New Roman" w:cs="Times New Roman"/>
          <w:sz w:val="24"/>
          <w:szCs w:val="24"/>
          <w:lang w:val="en-GB"/>
        </w:rPr>
        <w:t xml:space="preserve"> change in macro-frame implies both a new public discourse and (calls for) new </w:t>
      </w:r>
      <w:r w:rsidR="00987F79" w:rsidRPr="00050DEF">
        <w:rPr>
          <w:rFonts w:ascii="Times New Roman" w:hAnsi="Times New Roman" w:cs="Times New Roman"/>
          <w:sz w:val="24"/>
          <w:szCs w:val="24"/>
          <w:lang w:val="en-GB"/>
        </w:rPr>
        <w:t xml:space="preserve">policies </w:t>
      </w:r>
      <w:r w:rsidRPr="00050DEF">
        <w:rPr>
          <w:rFonts w:ascii="Times New Roman" w:hAnsi="Times New Roman" w:cs="Times New Roman"/>
          <w:sz w:val="24"/>
          <w:szCs w:val="24"/>
          <w:lang w:val="en-GB"/>
        </w:rPr>
        <w:t xml:space="preserve">(Hall 1993; Baumgartner 2013). </w:t>
      </w:r>
      <w:r w:rsidR="00633FCF" w:rsidRPr="00050DEF">
        <w:rPr>
          <w:rFonts w:ascii="Times New Roman" w:hAnsi="Times New Roman" w:cs="Times New Roman"/>
          <w:sz w:val="24"/>
          <w:szCs w:val="24"/>
          <w:lang w:val="en-GB"/>
        </w:rPr>
        <w:t xml:space="preserve">To measure </w:t>
      </w:r>
      <w:r w:rsidR="00BA70F3" w:rsidRPr="00050DEF">
        <w:rPr>
          <w:rFonts w:ascii="Times New Roman" w:hAnsi="Times New Roman" w:cs="Times New Roman"/>
          <w:sz w:val="24"/>
          <w:szCs w:val="24"/>
          <w:lang w:val="en-GB"/>
        </w:rPr>
        <w:t xml:space="preserve">the </w:t>
      </w:r>
      <w:r w:rsidRPr="00050DEF">
        <w:rPr>
          <w:rFonts w:ascii="Times New Roman" w:hAnsi="Times New Roman" w:cs="Times New Roman"/>
          <w:sz w:val="24"/>
          <w:szCs w:val="24"/>
          <w:lang w:val="en-GB"/>
        </w:rPr>
        <w:t>public</w:t>
      </w:r>
      <w:r w:rsidR="00633FCF" w:rsidRPr="00050DEF">
        <w:rPr>
          <w:rFonts w:ascii="Times New Roman" w:hAnsi="Times New Roman" w:cs="Times New Roman"/>
          <w:sz w:val="24"/>
          <w:szCs w:val="24"/>
          <w:lang w:val="en-GB"/>
        </w:rPr>
        <w:t xml:space="preserve"> discourse</w:t>
      </w:r>
      <w:r w:rsidRPr="00050DEF">
        <w:rPr>
          <w:rFonts w:ascii="Times New Roman" w:hAnsi="Times New Roman" w:cs="Times New Roman"/>
          <w:sz w:val="24"/>
          <w:szCs w:val="24"/>
          <w:lang w:val="en-GB"/>
        </w:rPr>
        <w:t xml:space="preserve"> and </w:t>
      </w:r>
      <w:r w:rsidR="00633FCF" w:rsidRPr="00050DEF">
        <w:rPr>
          <w:rFonts w:ascii="Times New Roman" w:hAnsi="Times New Roman" w:cs="Times New Roman"/>
          <w:sz w:val="24"/>
          <w:szCs w:val="24"/>
          <w:lang w:val="en-GB"/>
        </w:rPr>
        <w:t>call</w:t>
      </w:r>
      <w:r w:rsidRPr="00050DE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 xml:space="preserve"> for </w:t>
      </w:r>
      <w:r w:rsidRPr="00050DEF">
        <w:rPr>
          <w:rFonts w:ascii="Times New Roman" w:hAnsi="Times New Roman" w:cs="Times New Roman"/>
          <w:sz w:val="24"/>
          <w:szCs w:val="24"/>
          <w:lang w:val="en-GB"/>
        </w:rPr>
        <w:t xml:space="preserve">new </w:t>
      </w:r>
      <w:r w:rsidR="00987F79" w:rsidRPr="00050DEF">
        <w:rPr>
          <w:rFonts w:ascii="Times New Roman" w:hAnsi="Times New Roman" w:cs="Times New Roman"/>
          <w:sz w:val="24"/>
          <w:szCs w:val="24"/>
          <w:lang w:val="en-GB"/>
        </w:rPr>
        <w:t>policies</w:t>
      </w:r>
      <w:r w:rsidR="00633FCF" w:rsidRPr="00050DEF">
        <w:rPr>
          <w:rFonts w:ascii="Times New Roman" w:hAnsi="Times New Roman" w:cs="Times New Roman"/>
          <w:sz w:val="24"/>
          <w:szCs w:val="24"/>
          <w:lang w:val="en-GB"/>
        </w:rPr>
        <w:t>, we collected and coded 645 articles from 1990</w:t>
      </w:r>
      <w:r w:rsidR="008D45A8">
        <w:rPr>
          <w:rFonts w:ascii="Times New Roman" w:hAnsi="Times New Roman" w:cs="Times New Roman"/>
          <w:sz w:val="24"/>
          <w:szCs w:val="24"/>
          <w:lang w:val="en-GB"/>
        </w:rPr>
        <w:t xml:space="preserve"> to </w:t>
      </w:r>
      <w:r w:rsidR="00633FCF" w:rsidRPr="00050DEF">
        <w:rPr>
          <w:rFonts w:ascii="Times New Roman" w:hAnsi="Times New Roman" w:cs="Times New Roman"/>
          <w:sz w:val="24"/>
          <w:szCs w:val="24"/>
          <w:lang w:val="en-GB"/>
        </w:rPr>
        <w:t xml:space="preserve">2013 from two major Danish newspapers, </w:t>
      </w:r>
      <w:r w:rsidR="00633FCF" w:rsidRPr="00050DEF">
        <w:rPr>
          <w:rFonts w:ascii="Times New Roman" w:hAnsi="Times New Roman" w:cs="Times New Roman"/>
          <w:sz w:val="24"/>
          <w:szCs w:val="24"/>
          <w:lang w:val="en-GB"/>
        </w:rPr>
        <w:lastRenderedPageBreak/>
        <w:t>Berlingske and Politiken</w:t>
      </w:r>
      <w:r w:rsidR="008D45A8">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w:t>
      </w:r>
      <w:r w:rsidR="008D45A8">
        <w:rPr>
          <w:rFonts w:ascii="Times New Roman" w:hAnsi="Times New Roman" w:cs="Times New Roman"/>
          <w:sz w:val="24"/>
          <w:szCs w:val="24"/>
          <w:lang w:val="en-GB"/>
        </w:rPr>
        <w:t>T</w:t>
      </w:r>
      <w:r w:rsidR="00633FCF" w:rsidRPr="00050DEF">
        <w:rPr>
          <w:rFonts w:ascii="Times New Roman" w:hAnsi="Times New Roman" w:cs="Times New Roman"/>
          <w:sz w:val="24"/>
          <w:szCs w:val="24"/>
          <w:lang w:val="en-GB"/>
        </w:rPr>
        <w:t xml:space="preserve">he first is considered </w:t>
      </w:r>
      <w:r w:rsidR="008D45A8">
        <w:rPr>
          <w:rFonts w:ascii="Times New Roman" w:hAnsi="Times New Roman" w:cs="Times New Roman"/>
          <w:sz w:val="24"/>
          <w:szCs w:val="24"/>
          <w:lang w:val="en-GB"/>
        </w:rPr>
        <w:t xml:space="preserve">to be </w:t>
      </w:r>
      <w:r w:rsidR="00633FCF" w:rsidRPr="00050DEF">
        <w:rPr>
          <w:rFonts w:ascii="Times New Roman" w:hAnsi="Times New Roman" w:cs="Times New Roman"/>
          <w:sz w:val="24"/>
          <w:szCs w:val="24"/>
          <w:lang w:val="en-GB"/>
        </w:rPr>
        <w:t xml:space="preserve">leaning to the right and the latter to the left. We coded five possible </w:t>
      </w:r>
      <w:r w:rsidR="005A0E40" w:rsidRPr="00050DEF">
        <w:rPr>
          <w:rFonts w:ascii="Times New Roman" w:hAnsi="Times New Roman" w:cs="Times New Roman"/>
          <w:sz w:val="24"/>
          <w:szCs w:val="24"/>
          <w:lang w:val="en-GB"/>
        </w:rPr>
        <w:t>topics</w:t>
      </w:r>
      <w:r w:rsidR="00633FCF" w:rsidRPr="00050DEF">
        <w:rPr>
          <w:rFonts w:ascii="Times New Roman" w:hAnsi="Times New Roman" w:cs="Times New Roman"/>
          <w:sz w:val="24"/>
          <w:szCs w:val="24"/>
          <w:lang w:val="en-GB"/>
        </w:rPr>
        <w:t xml:space="preserve">: </w:t>
      </w:r>
      <w:r w:rsidR="008D45A8">
        <w:rPr>
          <w:rFonts w:ascii="Times New Roman" w:hAnsi="Times New Roman" w:cs="Times New Roman"/>
          <w:sz w:val="24"/>
          <w:szCs w:val="24"/>
          <w:lang w:val="en-GB"/>
        </w:rPr>
        <w:t>h</w:t>
      </w:r>
      <w:r w:rsidR="00633FCF" w:rsidRPr="00050DEF">
        <w:rPr>
          <w:rFonts w:ascii="Times New Roman" w:hAnsi="Times New Roman" w:cs="Times New Roman"/>
          <w:sz w:val="24"/>
          <w:szCs w:val="24"/>
          <w:lang w:val="en-GB"/>
        </w:rPr>
        <w:t>ealth</w:t>
      </w:r>
      <w:r w:rsidR="000E4610">
        <w:rPr>
          <w:rFonts w:ascii="Times New Roman" w:hAnsi="Times New Roman" w:cs="Times New Roman"/>
          <w:sz w:val="24"/>
          <w:szCs w:val="24"/>
          <w:lang w:val="en-GB"/>
        </w:rPr>
        <w:t xml:space="preserve"> topics</w:t>
      </w:r>
      <w:r w:rsidR="00633FCF" w:rsidRPr="00050DEF">
        <w:rPr>
          <w:rFonts w:ascii="Times New Roman" w:hAnsi="Times New Roman" w:cs="Times New Roman"/>
          <w:sz w:val="24"/>
          <w:szCs w:val="24"/>
          <w:lang w:val="en-GB"/>
        </w:rPr>
        <w:t xml:space="preserve"> (physical/mental health; physical/mental addictions; abuse of the addictive product; incurred health care costs)</w:t>
      </w:r>
      <w:r w:rsidR="008D45A8">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crime</w:t>
      </w:r>
      <w:r w:rsidR="000E4610" w:rsidRPr="000E4610">
        <w:rPr>
          <w:rFonts w:ascii="Times New Roman" w:hAnsi="Times New Roman" w:cs="Times New Roman"/>
          <w:sz w:val="24"/>
          <w:szCs w:val="24"/>
          <w:lang w:val="en-GB"/>
        </w:rPr>
        <w:t xml:space="preserve"> </w:t>
      </w:r>
      <w:r w:rsidR="000E4610">
        <w:rPr>
          <w:rFonts w:ascii="Times New Roman" w:hAnsi="Times New Roman" w:cs="Times New Roman"/>
          <w:sz w:val="24"/>
          <w:szCs w:val="24"/>
          <w:lang w:val="en-GB"/>
        </w:rPr>
        <w:t>topics</w:t>
      </w:r>
      <w:r w:rsidR="00633FCF" w:rsidRPr="00050DEF">
        <w:rPr>
          <w:rFonts w:ascii="Times New Roman" w:hAnsi="Times New Roman" w:cs="Times New Roman"/>
          <w:sz w:val="24"/>
          <w:szCs w:val="24"/>
          <w:lang w:val="en-GB"/>
        </w:rPr>
        <w:t xml:space="preserve"> (any illegal activity, including illegal production, sale, or consumption; tax evasion; violence)</w:t>
      </w:r>
      <w:r w:rsidR="008D45A8">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moral</w:t>
      </w:r>
      <w:r w:rsidR="000E4610" w:rsidRPr="000E4610">
        <w:rPr>
          <w:rFonts w:ascii="Times New Roman" w:hAnsi="Times New Roman" w:cs="Times New Roman"/>
          <w:sz w:val="24"/>
          <w:szCs w:val="24"/>
          <w:lang w:val="en-GB"/>
        </w:rPr>
        <w:t xml:space="preserve"> </w:t>
      </w:r>
      <w:r w:rsidR="000E4610">
        <w:rPr>
          <w:rFonts w:ascii="Times New Roman" w:hAnsi="Times New Roman" w:cs="Times New Roman"/>
          <w:sz w:val="24"/>
          <w:szCs w:val="24"/>
          <w:lang w:val="en-GB"/>
        </w:rPr>
        <w:t>topics</w:t>
      </w:r>
      <w:r w:rsidR="00633FCF" w:rsidRPr="00050DEF">
        <w:rPr>
          <w:rFonts w:ascii="Times New Roman" w:hAnsi="Times New Roman" w:cs="Times New Roman"/>
          <w:sz w:val="24"/>
          <w:szCs w:val="24"/>
          <w:lang w:val="en-GB"/>
        </w:rPr>
        <w:t xml:space="preserve"> (sinfulness; moral wrongdoing other than crime; objection against traditional morals)</w:t>
      </w:r>
      <w:r w:rsidR="008D45A8">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enterprise</w:t>
      </w:r>
      <w:r w:rsidR="000E4610" w:rsidRPr="000E4610">
        <w:rPr>
          <w:rFonts w:ascii="Times New Roman" w:hAnsi="Times New Roman" w:cs="Times New Roman"/>
          <w:sz w:val="24"/>
          <w:szCs w:val="24"/>
          <w:lang w:val="en-GB"/>
        </w:rPr>
        <w:t xml:space="preserve"> </w:t>
      </w:r>
      <w:r w:rsidR="000E4610">
        <w:rPr>
          <w:rFonts w:ascii="Times New Roman" w:hAnsi="Times New Roman" w:cs="Times New Roman"/>
          <w:sz w:val="24"/>
          <w:szCs w:val="24"/>
          <w:lang w:val="en-GB"/>
        </w:rPr>
        <w:t>topics</w:t>
      </w:r>
      <w:r w:rsidR="00633FCF" w:rsidRPr="00050DEF">
        <w:rPr>
          <w:rFonts w:ascii="Times New Roman" w:hAnsi="Times New Roman" w:cs="Times New Roman"/>
          <w:sz w:val="24"/>
          <w:szCs w:val="24"/>
          <w:lang w:val="en-GB"/>
        </w:rPr>
        <w:t xml:space="preserve"> (any legal commercial activity and the regulation thereof, including the introduction of new products; taxes/tax revenue for the state; and profits from production and sale)</w:t>
      </w:r>
      <w:r w:rsidR="008D45A8">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w:t>
      </w:r>
      <w:r w:rsidR="008D45A8">
        <w:rPr>
          <w:rFonts w:ascii="Times New Roman" w:hAnsi="Times New Roman" w:cs="Times New Roman"/>
          <w:sz w:val="24"/>
          <w:szCs w:val="24"/>
          <w:lang w:val="en-GB"/>
        </w:rPr>
        <w:t>and</w:t>
      </w:r>
      <w:r w:rsidR="00633FCF" w:rsidRPr="00050DEF">
        <w:rPr>
          <w:rFonts w:ascii="Times New Roman" w:hAnsi="Times New Roman" w:cs="Times New Roman"/>
          <w:sz w:val="24"/>
          <w:szCs w:val="24"/>
          <w:lang w:val="en-GB"/>
        </w:rPr>
        <w:t xml:space="preserve"> neutral</w:t>
      </w:r>
      <w:r w:rsidR="000E4610" w:rsidRPr="000E4610">
        <w:rPr>
          <w:rFonts w:ascii="Times New Roman" w:hAnsi="Times New Roman" w:cs="Times New Roman"/>
          <w:sz w:val="24"/>
          <w:szCs w:val="24"/>
          <w:lang w:val="en-GB"/>
        </w:rPr>
        <w:t xml:space="preserve"> </w:t>
      </w:r>
      <w:r w:rsidR="000E4610">
        <w:rPr>
          <w:rFonts w:ascii="Times New Roman" w:hAnsi="Times New Roman" w:cs="Times New Roman"/>
          <w:sz w:val="24"/>
          <w:szCs w:val="24"/>
          <w:lang w:val="en-GB"/>
        </w:rPr>
        <w:t>topics (a residual category that includes topics that do not fit the previous four topics)</w:t>
      </w:r>
      <w:r w:rsidR="00633FCF" w:rsidRPr="00050DEF">
        <w:rPr>
          <w:rFonts w:ascii="Times New Roman" w:hAnsi="Times New Roman" w:cs="Times New Roman"/>
          <w:sz w:val="24"/>
          <w:szCs w:val="24"/>
          <w:lang w:val="en-GB"/>
        </w:rPr>
        <w:t xml:space="preserve">. We grouped the former three discourses into a </w:t>
      </w:r>
      <w:r w:rsidR="005A0E40" w:rsidRPr="00050DEF">
        <w:rPr>
          <w:rFonts w:ascii="Times New Roman" w:hAnsi="Times New Roman" w:cs="Times New Roman"/>
          <w:sz w:val="24"/>
          <w:szCs w:val="24"/>
          <w:lang w:val="en-GB"/>
        </w:rPr>
        <w:t>danger</w:t>
      </w:r>
      <w:r w:rsidR="00633FCF" w:rsidRPr="00050DEF">
        <w:rPr>
          <w:rFonts w:ascii="Times New Roman" w:hAnsi="Times New Roman" w:cs="Times New Roman"/>
          <w:sz w:val="24"/>
          <w:szCs w:val="24"/>
          <w:lang w:val="en-GB"/>
        </w:rPr>
        <w:t xml:space="preserve"> fra</w:t>
      </w:r>
      <w:r w:rsidR="003C61CE" w:rsidRPr="00050DEF">
        <w:rPr>
          <w:rFonts w:ascii="Times New Roman" w:hAnsi="Times New Roman" w:cs="Times New Roman"/>
          <w:sz w:val="24"/>
          <w:szCs w:val="24"/>
          <w:lang w:val="en-GB"/>
        </w:rPr>
        <w:t xml:space="preserve">me </w:t>
      </w:r>
      <w:r w:rsidR="005A0E40" w:rsidRPr="00050DEF">
        <w:rPr>
          <w:rFonts w:ascii="Times New Roman" w:hAnsi="Times New Roman" w:cs="Times New Roman"/>
          <w:sz w:val="24"/>
          <w:szCs w:val="24"/>
          <w:lang w:val="en-GB"/>
        </w:rPr>
        <w:t>(i.e.</w:t>
      </w:r>
      <w:r w:rsidR="0045600B">
        <w:rPr>
          <w:rFonts w:ascii="Times New Roman" w:hAnsi="Times New Roman" w:cs="Times New Roman"/>
          <w:sz w:val="24"/>
          <w:szCs w:val="24"/>
          <w:lang w:val="en-GB"/>
        </w:rPr>
        <w:t>,</w:t>
      </w:r>
      <w:r w:rsidR="005A0E40" w:rsidRPr="00050DEF">
        <w:rPr>
          <w:rFonts w:ascii="Times New Roman" w:hAnsi="Times New Roman" w:cs="Times New Roman"/>
          <w:sz w:val="24"/>
          <w:szCs w:val="24"/>
          <w:lang w:val="en-GB"/>
        </w:rPr>
        <w:t xml:space="preserve"> alcohol being a danger to a people’s health, moral habitus, or society) </w:t>
      </w:r>
      <w:r w:rsidR="003C61CE" w:rsidRPr="00050DEF">
        <w:rPr>
          <w:rFonts w:ascii="Times New Roman" w:hAnsi="Times New Roman" w:cs="Times New Roman"/>
          <w:sz w:val="24"/>
          <w:szCs w:val="24"/>
          <w:lang w:val="en-GB"/>
        </w:rPr>
        <w:t xml:space="preserve">and the latter two into a </w:t>
      </w:r>
      <w:r w:rsidR="00633FCF" w:rsidRPr="00050DEF">
        <w:rPr>
          <w:rFonts w:ascii="Times New Roman" w:hAnsi="Times New Roman" w:cs="Times New Roman"/>
          <w:sz w:val="24"/>
          <w:szCs w:val="24"/>
          <w:lang w:val="en-GB"/>
        </w:rPr>
        <w:t>business frame</w:t>
      </w:r>
      <w:r w:rsidR="00B33E4B" w:rsidRPr="00050DEF">
        <w:rPr>
          <w:rFonts w:ascii="Times New Roman" w:hAnsi="Times New Roman" w:cs="Times New Roman"/>
          <w:sz w:val="24"/>
          <w:szCs w:val="24"/>
          <w:lang w:val="en-GB"/>
        </w:rPr>
        <w:t xml:space="preserve"> (for a similar approach, see Euchner et al. 2013)</w:t>
      </w:r>
      <w:r w:rsidR="00366FB1" w:rsidRPr="00050DEF">
        <w:rPr>
          <w:rFonts w:ascii="Times New Roman" w:hAnsi="Times New Roman" w:cs="Times New Roman"/>
          <w:sz w:val="24"/>
          <w:szCs w:val="24"/>
          <w:lang w:val="en-GB"/>
        </w:rPr>
        <w:t>. We include the (</w:t>
      </w:r>
      <w:r w:rsidR="00297643" w:rsidRPr="00050DEF">
        <w:rPr>
          <w:rFonts w:ascii="Times New Roman" w:hAnsi="Times New Roman" w:cs="Times New Roman"/>
          <w:sz w:val="24"/>
          <w:szCs w:val="24"/>
          <w:lang w:val="en-GB"/>
        </w:rPr>
        <w:t xml:space="preserve">relatively </w:t>
      </w:r>
      <w:r w:rsidR="00366FB1" w:rsidRPr="00050DEF">
        <w:rPr>
          <w:rFonts w:ascii="Times New Roman" w:hAnsi="Times New Roman" w:cs="Times New Roman"/>
          <w:sz w:val="24"/>
          <w:szCs w:val="24"/>
          <w:lang w:val="en-GB"/>
        </w:rPr>
        <w:t>small) category of neutral</w:t>
      </w:r>
      <w:r w:rsidR="000E4610">
        <w:rPr>
          <w:rFonts w:ascii="Times New Roman" w:hAnsi="Times New Roman" w:cs="Times New Roman"/>
          <w:sz w:val="24"/>
          <w:szCs w:val="24"/>
          <w:lang w:val="en-GB"/>
        </w:rPr>
        <w:t xml:space="preserve"> topics</w:t>
      </w:r>
      <w:r w:rsidR="00366FB1" w:rsidRPr="00050DEF">
        <w:rPr>
          <w:rFonts w:ascii="Times New Roman" w:hAnsi="Times New Roman" w:cs="Times New Roman"/>
          <w:sz w:val="24"/>
          <w:szCs w:val="24"/>
          <w:lang w:val="en-GB"/>
        </w:rPr>
        <w:t xml:space="preserve"> here because they do not go against the interests of the Brewers’ Association and</w:t>
      </w:r>
      <w:r w:rsidR="0045600B">
        <w:rPr>
          <w:rFonts w:ascii="Times New Roman" w:hAnsi="Times New Roman" w:cs="Times New Roman"/>
          <w:sz w:val="24"/>
          <w:szCs w:val="24"/>
          <w:lang w:val="en-GB"/>
        </w:rPr>
        <w:t>,</w:t>
      </w:r>
      <w:r w:rsidR="00366FB1" w:rsidRPr="00050DEF">
        <w:rPr>
          <w:rFonts w:ascii="Times New Roman" w:hAnsi="Times New Roman" w:cs="Times New Roman"/>
          <w:sz w:val="24"/>
          <w:szCs w:val="24"/>
          <w:lang w:val="en-GB"/>
        </w:rPr>
        <w:t xml:space="preserve"> as such</w:t>
      </w:r>
      <w:r w:rsidR="0045600B">
        <w:rPr>
          <w:rFonts w:ascii="Times New Roman" w:hAnsi="Times New Roman" w:cs="Times New Roman"/>
          <w:sz w:val="24"/>
          <w:szCs w:val="24"/>
          <w:lang w:val="en-GB"/>
        </w:rPr>
        <w:t>,</w:t>
      </w:r>
      <w:r w:rsidR="00366FB1" w:rsidRPr="00050DEF">
        <w:rPr>
          <w:rFonts w:ascii="Times New Roman" w:hAnsi="Times New Roman" w:cs="Times New Roman"/>
          <w:sz w:val="24"/>
          <w:szCs w:val="24"/>
          <w:lang w:val="en-GB"/>
        </w:rPr>
        <w:t xml:space="preserve"> </w:t>
      </w:r>
      <w:r w:rsidR="00297643" w:rsidRPr="00050DEF">
        <w:rPr>
          <w:rFonts w:ascii="Times New Roman" w:hAnsi="Times New Roman" w:cs="Times New Roman"/>
          <w:sz w:val="24"/>
          <w:szCs w:val="24"/>
          <w:lang w:val="en-GB"/>
        </w:rPr>
        <w:t>do</w:t>
      </w:r>
      <w:r w:rsidR="00366FB1" w:rsidRPr="00050DEF">
        <w:rPr>
          <w:rFonts w:ascii="Times New Roman" w:hAnsi="Times New Roman" w:cs="Times New Roman"/>
          <w:sz w:val="24"/>
          <w:szCs w:val="24"/>
          <w:lang w:val="en-GB"/>
        </w:rPr>
        <w:t xml:space="preserve"> not require a strategic response</w:t>
      </w:r>
      <w:r w:rsidR="005A6BCD" w:rsidRPr="00050DEF">
        <w:rPr>
          <w:rFonts w:ascii="Times New Roman" w:hAnsi="Times New Roman" w:cs="Times New Roman"/>
          <w:sz w:val="24"/>
          <w:szCs w:val="24"/>
          <w:lang w:val="en-GB"/>
        </w:rPr>
        <w:t>.</w:t>
      </w:r>
      <w:r w:rsidR="00EB2844" w:rsidRPr="00050DEF">
        <w:rPr>
          <w:rFonts w:ascii="Times New Roman" w:hAnsi="Times New Roman" w:cs="Times New Roman"/>
          <w:sz w:val="24"/>
          <w:szCs w:val="24"/>
          <w:lang w:val="en-GB"/>
        </w:rPr>
        <w:t xml:space="preserve"> When it comes to the danger frame, it should be noted that health </w:t>
      </w:r>
      <w:r w:rsidR="0045600B">
        <w:rPr>
          <w:rFonts w:ascii="Times New Roman" w:hAnsi="Times New Roman" w:cs="Times New Roman"/>
          <w:sz w:val="24"/>
          <w:szCs w:val="24"/>
          <w:lang w:val="en-GB"/>
        </w:rPr>
        <w:t xml:space="preserve">is </w:t>
      </w:r>
      <w:r w:rsidR="00EB2844" w:rsidRPr="00050DEF">
        <w:rPr>
          <w:rFonts w:ascii="Times New Roman" w:hAnsi="Times New Roman" w:cs="Times New Roman"/>
          <w:sz w:val="24"/>
          <w:szCs w:val="24"/>
          <w:lang w:val="en-GB"/>
        </w:rPr>
        <w:t>by far the main component</w:t>
      </w:r>
      <w:r w:rsidR="00366FB1" w:rsidRPr="00050DEF">
        <w:rPr>
          <w:rFonts w:ascii="Times New Roman" w:hAnsi="Times New Roman" w:cs="Times New Roman"/>
          <w:sz w:val="24"/>
          <w:szCs w:val="24"/>
          <w:lang w:val="en-GB"/>
        </w:rPr>
        <w:t>, while moral</w:t>
      </w:r>
      <w:r w:rsidR="000E4610">
        <w:rPr>
          <w:rFonts w:ascii="Times New Roman" w:hAnsi="Times New Roman" w:cs="Times New Roman"/>
          <w:sz w:val="24"/>
          <w:szCs w:val="24"/>
          <w:lang w:val="en-GB"/>
        </w:rPr>
        <w:t xml:space="preserve"> topics</w:t>
      </w:r>
      <w:r w:rsidR="00366FB1" w:rsidRPr="00050DEF">
        <w:rPr>
          <w:rFonts w:ascii="Times New Roman" w:hAnsi="Times New Roman" w:cs="Times New Roman"/>
          <w:sz w:val="24"/>
          <w:szCs w:val="24"/>
          <w:lang w:val="en-GB"/>
        </w:rPr>
        <w:t xml:space="preserve"> and crime </w:t>
      </w:r>
      <w:r w:rsidR="000E4610">
        <w:rPr>
          <w:rFonts w:ascii="Times New Roman" w:hAnsi="Times New Roman" w:cs="Times New Roman"/>
          <w:sz w:val="24"/>
          <w:szCs w:val="24"/>
          <w:lang w:val="en-GB"/>
        </w:rPr>
        <w:t xml:space="preserve">topics </w:t>
      </w:r>
      <w:r w:rsidR="00366FB1" w:rsidRPr="00050DEF">
        <w:rPr>
          <w:rFonts w:ascii="Times New Roman" w:hAnsi="Times New Roman" w:cs="Times New Roman"/>
          <w:sz w:val="24"/>
          <w:szCs w:val="24"/>
          <w:lang w:val="en-GB"/>
        </w:rPr>
        <w:t xml:space="preserve">make up only a small and </w:t>
      </w:r>
      <w:r w:rsidR="00297643" w:rsidRPr="00050DEF">
        <w:rPr>
          <w:rFonts w:ascii="Times New Roman" w:hAnsi="Times New Roman" w:cs="Times New Roman"/>
          <w:sz w:val="24"/>
          <w:szCs w:val="24"/>
          <w:lang w:val="en-GB"/>
        </w:rPr>
        <w:t>rather</w:t>
      </w:r>
      <w:r w:rsidR="00366FB1" w:rsidRPr="00050DEF">
        <w:rPr>
          <w:rFonts w:ascii="Times New Roman" w:hAnsi="Times New Roman" w:cs="Times New Roman"/>
          <w:sz w:val="24"/>
          <w:szCs w:val="24"/>
          <w:lang w:val="en-GB"/>
        </w:rPr>
        <w:t xml:space="preserve"> constant proportion.  </w:t>
      </w:r>
    </w:p>
    <w:p w14:paraId="78FB86FE" w14:textId="5C5D104F"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To measure the </w:t>
      </w:r>
      <w:r w:rsidR="005A6BCD" w:rsidRPr="00050DEF">
        <w:rPr>
          <w:rFonts w:ascii="Times New Roman" w:hAnsi="Times New Roman" w:cs="Times New Roman"/>
          <w:sz w:val="24"/>
          <w:szCs w:val="24"/>
          <w:lang w:val="en-GB"/>
        </w:rPr>
        <w:t xml:space="preserve">dominant </w:t>
      </w:r>
      <w:r w:rsidR="0034005D" w:rsidRPr="00050DEF">
        <w:rPr>
          <w:rFonts w:ascii="Times New Roman" w:hAnsi="Times New Roman" w:cs="Times New Roman"/>
          <w:sz w:val="24"/>
          <w:szCs w:val="24"/>
          <w:lang w:val="en-GB"/>
        </w:rPr>
        <w:t>preference</w:t>
      </w:r>
      <w:r w:rsidRPr="00050DEF">
        <w:rPr>
          <w:rFonts w:ascii="Times New Roman" w:hAnsi="Times New Roman" w:cs="Times New Roman"/>
          <w:sz w:val="24"/>
          <w:szCs w:val="24"/>
          <w:lang w:val="en-GB"/>
        </w:rPr>
        <w:t xml:space="preserve"> for </w:t>
      </w:r>
      <w:r w:rsidR="005A6BCD" w:rsidRPr="00050DEF">
        <w:rPr>
          <w:rFonts w:ascii="Times New Roman" w:hAnsi="Times New Roman" w:cs="Times New Roman"/>
          <w:sz w:val="24"/>
          <w:szCs w:val="24"/>
          <w:lang w:val="en-GB"/>
        </w:rPr>
        <w:t>policy change expressed on the public agenda</w:t>
      </w:r>
      <w:r w:rsidRPr="00050DEF">
        <w:rPr>
          <w:rFonts w:ascii="Times New Roman" w:hAnsi="Times New Roman" w:cs="Times New Roman"/>
          <w:sz w:val="24"/>
          <w:szCs w:val="24"/>
          <w:lang w:val="en-GB"/>
        </w:rPr>
        <w:t xml:space="preserve">, we recorded the first policy </w:t>
      </w:r>
      <w:r w:rsidR="005A6BCD" w:rsidRPr="00050DEF">
        <w:rPr>
          <w:rFonts w:ascii="Times New Roman" w:hAnsi="Times New Roman" w:cs="Times New Roman"/>
          <w:sz w:val="24"/>
          <w:szCs w:val="24"/>
          <w:lang w:val="en-GB"/>
        </w:rPr>
        <w:t>goal mentioned in the article</w:t>
      </w:r>
      <w:r w:rsidR="0045600B">
        <w:rPr>
          <w:rFonts w:ascii="Times New Roman" w:hAnsi="Times New Roman" w:cs="Times New Roman"/>
          <w:sz w:val="24"/>
          <w:szCs w:val="24"/>
          <w:lang w:val="en-GB"/>
        </w:rPr>
        <w:t>,</w:t>
      </w:r>
      <w:r w:rsidR="005A6BCD" w:rsidRPr="00050DEF">
        <w:rPr>
          <w:rFonts w:ascii="Times New Roman" w:hAnsi="Times New Roman" w:cs="Times New Roman"/>
          <w:sz w:val="24"/>
          <w:szCs w:val="24"/>
          <w:lang w:val="en-GB"/>
        </w:rPr>
        <w:t xml:space="preserve"> </w:t>
      </w:r>
      <w:r w:rsidR="0045600B">
        <w:rPr>
          <w:rFonts w:ascii="Times New Roman" w:hAnsi="Times New Roman" w:cs="Times New Roman"/>
          <w:sz w:val="24"/>
          <w:szCs w:val="24"/>
          <w:lang w:val="en-GB"/>
        </w:rPr>
        <w:t>t</w:t>
      </w:r>
      <w:r w:rsidR="005A6BCD" w:rsidRPr="00050DEF">
        <w:rPr>
          <w:rFonts w:ascii="Times New Roman" w:hAnsi="Times New Roman" w:cs="Times New Roman"/>
          <w:sz w:val="24"/>
          <w:szCs w:val="24"/>
          <w:lang w:val="en-GB"/>
        </w:rPr>
        <w:t>hat is, if t</w:t>
      </w:r>
      <w:r w:rsidRPr="00050DEF">
        <w:rPr>
          <w:rFonts w:ascii="Times New Roman" w:hAnsi="Times New Roman" w:cs="Times New Roman"/>
          <w:sz w:val="24"/>
          <w:szCs w:val="24"/>
          <w:lang w:val="en-GB"/>
        </w:rPr>
        <w:t xml:space="preserve">he </w:t>
      </w:r>
      <w:r w:rsidR="00BC1FDC" w:rsidRPr="00050DEF">
        <w:rPr>
          <w:rFonts w:ascii="Times New Roman" w:hAnsi="Times New Roman" w:cs="Times New Roman"/>
          <w:sz w:val="24"/>
          <w:szCs w:val="24"/>
          <w:lang w:val="en-GB"/>
        </w:rPr>
        <w:t>activity should be liberali</w:t>
      </w:r>
      <w:r w:rsidR="0045600B">
        <w:rPr>
          <w:rFonts w:ascii="Times New Roman" w:hAnsi="Times New Roman" w:cs="Times New Roman"/>
          <w:sz w:val="24"/>
          <w:szCs w:val="24"/>
          <w:lang w:val="en-GB"/>
        </w:rPr>
        <w:t>s</w:t>
      </w:r>
      <w:r w:rsidR="00BC1FDC" w:rsidRPr="00050DEF">
        <w:rPr>
          <w:rFonts w:ascii="Times New Roman" w:hAnsi="Times New Roman" w:cs="Times New Roman"/>
          <w:sz w:val="24"/>
          <w:szCs w:val="24"/>
          <w:lang w:val="en-GB"/>
        </w:rPr>
        <w:t>ed or r</w:t>
      </w:r>
      <w:r w:rsidRPr="00050DEF">
        <w:rPr>
          <w:rFonts w:ascii="Times New Roman" w:hAnsi="Times New Roman" w:cs="Times New Roman"/>
          <w:sz w:val="24"/>
          <w:szCs w:val="24"/>
          <w:lang w:val="en-GB"/>
        </w:rPr>
        <w:t>estricted</w:t>
      </w:r>
      <w:r w:rsidR="00BC1FDC" w:rsidRPr="00050DEF">
        <w:rPr>
          <w:rFonts w:ascii="Times New Roman" w:hAnsi="Times New Roman" w:cs="Times New Roman"/>
          <w:sz w:val="24"/>
          <w:szCs w:val="24"/>
          <w:lang w:val="en-GB"/>
        </w:rPr>
        <w:t xml:space="preserve"> (or if the status quo should be maintained)</w:t>
      </w:r>
      <w:r w:rsidRPr="00050DEF">
        <w:rPr>
          <w:rFonts w:ascii="Times New Roman" w:hAnsi="Times New Roman" w:cs="Times New Roman"/>
          <w:sz w:val="24"/>
          <w:szCs w:val="24"/>
          <w:lang w:val="en-GB"/>
        </w:rPr>
        <w:t xml:space="preserve">. </w:t>
      </w:r>
      <w:r w:rsidR="00BC1FDC" w:rsidRPr="00050DEF">
        <w:rPr>
          <w:rFonts w:ascii="Times New Roman" w:hAnsi="Times New Roman" w:cs="Times New Roman"/>
          <w:sz w:val="24"/>
          <w:szCs w:val="24"/>
          <w:lang w:val="en-GB"/>
        </w:rPr>
        <w:t>Using the same articles, we also coded the first actor mentioned to analy</w:t>
      </w:r>
      <w:r w:rsidR="0045600B">
        <w:rPr>
          <w:rFonts w:ascii="Times New Roman" w:hAnsi="Times New Roman" w:cs="Times New Roman"/>
          <w:sz w:val="24"/>
          <w:szCs w:val="24"/>
          <w:lang w:val="en-GB"/>
        </w:rPr>
        <w:t>s</w:t>
      </w:r>
      <w:r w:rsidR="00BC1FDC" w:rsidRPr="00050DEF">
        <w:rPr>
          <w:rFonts w:ascii="Times New Roman" w:hAnsi="Times New Roman" w:cs="Times New Roman"/>
          <w:sz w:val="24"/>
          <w:szCs w:val="24"/>
          <w:lang w:val="en-GB"/>
        </w:rPr>
        <w:t>e the degree of engagement of the interest group (the first dimension of micro-framing). To measure policy changes</w:t>
      </w:r>
      <w:r w:rsidR="008F180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we </w:t>
      </w:r>
      <w:r w:rsidR="00EC1AB5" w:rsidRPr="00050DEF">
        <w:rPr>
          <w:rFonts w:ascii="Times New Roman" w:hAnsi="Times New Roman" w:cs="Times New Roman"/>
          <w:sz w:val="24"/>
          <w:szCs w:val="24"/>
          <w:lang w:val="en-GB"/>
        </w:rPr>
        <w:t xml:space="preserve">were inspired by previous alcohol policy coding (Brand </w:t>
      </w:r>
      <w:r w:rsidR="00EC1AB5" w:rsidRPr="00050DEF">
        <w:rPr>
          <w:rFonts w:ascii="Times New Roman" w:hAnsi="Times New Roman" w:cs="Times New Roman"/>
          <w:iCs/>
          <w:sz w:val="24"/>
          <w:szCs w:val="24"/>
          <w:lang w:val="en-GB"/>
        </w:rPr>
        <w:t>et al.</w:t>
      </w:r>
      <w:r w:rsidR="00EC1AB5" w:rsidRPr="00050DEF">
        <w:rPr>
          <w:rFonts w:ascii="Times New Roman" w:hAnsi="Times New Roman" w:cs="Times New Roman"/>
          <w:sz w:val="24"/>
          <w:szCs w:val="24"/>
          <w:lang w:val="en-GB"/>
        </w:rPr>
        <w:t xml:space="preserve"> 2007) and </w:t>
      </w:r>
      <w:r w:rsidRPr="00050DEF">
        <w:rPr>
          <w:rFonts w:ascii="Times New Roman" w:hAnsi="Times New Roman" w:cs="Times New Roman"/>
          <w:sz w:val="24"/>
          <w:szCs w:val="24"/>
          <w:lang w:val="en-GB"/>
        </w:rPr>
        <w:t xml:space="preserve">searched the Danish national database on primary laws for all relevant legislation in the period of analysis. Relevant legislation includes regulation of </w:t>
      </w:r>
      <w:r w:rsidR="00BA70F3" w:rsidRPr="00050DEF">
        <w:rPr>
          <w:rFonts w:ascii="Times New Roman" w:hAnsi="Times New Roman" w:cs="Times New Roman"/>
          <w:sz w:val="24"/>
          <w:szCs w:val="24"/>
          <w:lang w:val="en-GB"/>
        </w:rPr>
        <w:t>drunk driving</w:t>
      </w:r>
      <w:r w:rsidRPr="00050DEF">
        <w:rPr>
          <w:rFonts w:ascii="Times New Roman" w:hAnsi="Times New Roman" w:cs="Times New Roman"/>
          <w:sz w:val="24"/>
          <w:szCs w:val="24"/>
          <w:lang w:val="en-GB"/>
        </w:rPr>
        <w:t xml:space="preserve">, VAT on alcoholic beverages, and consumer access to such beverages. Table </w:t>
      </w:r>
      <w:r w:rsidR="00175F76" w:rsidRPr="00050DEF">
        <w:rPr>
          <w:rFonts w:ascii="Times New Roman" w:hAnsi="Times New Roman" w:cs="Times New Roman"/>
          <w:sz w:val="24"/>
          <w:szCs w:val="24"/>
          <w:lang w:val="en-GB"/>
        </w:rPr>
        <w:t>A1 in the appendix</w:t>
      </w:r>
      <w:r w:rsidRPr="00050DEF">
        <w:rPr>
          <w:rFonts w:ascii="Times New Roman" w:hAnsi="Times New Roman" w:cs="Times New Roman"/>
          <w:sz w:val="24"/>
          <w:szCs w:val="24"/>
          <w:lang w:val="en-GB"/>
        </w:rPr>
        <w:t xml:space="preserve"> provides an overview.</w:t>
      </w:r>
    </w:p>
    <w:p w14:paraId="6476BE79" w14:textId="77777777" w:rsidR="00633FCF" w:rsidRPr="00050DEF" w:rsidRDefault="00633FCF" w:rsidP="00633FCF">
      <w:pPr>
        <w:spacing w:after="0" w:line="480" w:lineRule="auto"/>
        <w:rPr>
          <w:rFonts w:ascii="Times New Roman" w:hAnsi="Times New Roman" w:cs="Times New Roman"/>
          <w:sz w:val="24"/>
          <w:szCs w:val="24"/>
          <w:lang w:val="en-GB"/>
        </w:rPr>
      </w:pPr>
    </w:p>
    <w:p w14:paraId="3A762011" w14:textId="77777777" w:rsidR="00633FCF" w:rsidRPr="00050DEF" w:rsidRDefault="00633FCF" w:rsidP="00633FCF">
      <w:pPr>
        <w:spacing w:after="0" w:line="480" w:lineRule="auto"/>
        <w:rPr>
          <w:rFonts w:ascii="Times New Roman" w:hAnsi="Times New Roman" w:cs="Times New Roman"/>
          <w:b/>
          <w:sz w:val="24"/>
          <w:szCs w:val="24"/>
          <w:lang w:val="en-GB"/>
        </w:rPr>
      </w:pPr>
      <w:r w:rsidRPr="00050DEF">
        <w:rPr>
          <w:rFonts w:ascii="Times New Roman" w:hAnsi="Times New Roman" w:cs="Times New Roman"/>
          <w:b/>
          <w:sz w:val="24"/>
          <w:szCs w:val="24"/>
          <w:lang w:val="en-GB"/>
        </w:rPr>
        <w:t>Empirical Analysis</w:t>
      </w:r>
    </w:p>
    <w:p w14:paraId="60B90C88" w14:textId="735596C9"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In the following, we will</w:t>
      </w:r>
      <w:r w:rsidR="008227C3">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first</w:t>
      </w:r>
      <w:r w:rsidR="008227C3">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describe the change in the macro-frame on alcohol in Denmark 1990</w:t>
      </w:r>
      <w:r w:rsidR="009C7118"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2015. We will go through the three parts of the macro-frame, namely (1) the discourse, (2) call</w:t>
      </w:r>
      <w:r w:rsidR="00EB2844"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for </w:t>
      </w:r>
      <w:r w:rsidR="00C2244A" w:rsidRPr="00050DEF">
        <w:rPr>
          <w:rFonts w:ascii="Times New Roman" w:hAnsi="Times New Roman" w:cs="Times New Roman"/>
          <w:sz w:val="24"/>
          <w:szCs w:val="24"/>
          <w:lang w:val="en-GB"/>
        </w:rPr>
        <w:t>new</w:t>
      </w:r>
      <w:r w:rsidR="00EB2844" w:rsidRPr="00050DEF">
        <w:rPr>
          <w:rFonts w:ascii="Times New Roman" w:hAnsi="Times New Roman" w:cs="Times New Roman"/>
          <w:sz w:val="24"/>
          <w:szCs w:val="24"/>
          <w:lang w:val="en-GB"/>
        </w:rPr>
        <w:t xml:space="preserve"> policies</w:t>
      </w:r>
      <w:r w:rsidRPr="00050DEF">
        <w:rPr>
          <w:rFonts w:ascii="Times New Roman" w:hAnsi="Times New Roman" w:cs="Times New Roman"/>
          <w:sz w:val="24"/>
          <w:szCs w:val="24"/>
          <w:lang w:val="en-GB"/>
        </w:rPr>
        <w:t xml:space="preserve">, and (3) </w:t>
      </w:r>
      <w:r w:rsidR="00C2244A" w:rsidRPr="00050DEF">
        <w:rPr>
          <w:rFonts w:ascii="Times New Roman" w:hAnsi="Times New Roman" w:cs="Times New Roman"/>
          <w:sz w:val="24"/>
          <w:szCs w:val="24"/>
          <w:lang w:val="en-GB"/>
        </w:rPr>
        <w:t xml:space="preserve">actual </w:t>
      </w:r>
      <w:r w:rsidRPr="00050DEF">
        <w:rPr>
          <w:rFonts w:ascii="Times New Roman" w:hAnsi="Times New Roman" w:cs="Times New Roman"/>
          <w:sz w:val="24"/>
          <w:szCs w:val="24"/>
          <w:lang w:val="en-GB"/>
        </w:rPr>
        <w:t xml:space="preserve">policy changes. After that, we </w:t>
      </w:r>
      <w:r w:rsidR="002F2D0B">
        <w:rPr>
          <w:rFonts w:ascii="Times New Roman" w:hAnsi="Times New Roman" w:cs="Times New Roman"/>
          <w:sz w:val="24"/>
          <w:szCs w:val="24"/>
          <w:lang w:val="en-GB"/>
        </w:rPr>
        <w:t>analyse</w:t>
      </w:r>
      <w:r w:rsidRPr="00050DEF">
        <w:rPr>
          <w:rFonts w:ascii="Times New Roman" w:hAnsi="Times New Roman" w:cs="Times New Roman"/>
          <w:sz w:val="24"/>
          <w:szCs w:val="24"/>
          <w:lang w:val="en-GB"/>
        </w:rPr>
        <w:t xml:space="preserve"> the micro-frame response of the </w:t>
      </w:r>
      <w:r w:rsidR="00EB2844" w:rsidRPr="00050DEF">
        <w:rPr>
          <w:rFonts w:ascii="Times New Roman" w:hAnsi="Times New Roman" w:cs="Times New Roman"/>
          <w:sz w:val="24"/>
          <w:szCs w:val="24"/>
          <w:lang w:val="en-GB"/>
        </w:rPr>
        <w:t>Danish Brewers’ Association</w:t>
      </w:r>
      <w:r w:rsidRPr="00050DEF">
        <w:rPr>
          <w:rFonts w:ascii="Times New Roman" w:hAnsi="Times New Roman" w:cs="Times New Roman"/>
          <w:sz w:val="24"/>
          <w:szCs w:val="24"/>
          <w:lang w:val="en-GB"/>
        </w:rPr>
        <w:t xml:space="preserve"> and focus on the four strategies: (1) exit, (2) avoid, (3) reject</w:t>
      </w:r>
      <w:r w:rsidR="00C2244A" w:rsidRPr="00050DEF">
        <w:rPr>
          <w:rFonts w:ascii="Times New Roman" w:hAnsi="Times New Roman" w:cs="Times New Roman"/>
          <w:sz w:val="24"/>
          <w:szCs w:val="24"/>
          <w:lang w:val="en-GB"/>
        </w:rPr>
        <w:t>, and</w:t>
      </w:r>
      <w:r w:rsidRPr="00050DEF">
        <w:rPr>
          <w:rFonts w:ascii="Times New Roman" w:hAnsi="Times New Roman" w:cs="Times New Roman"/>
          <w:sz w:val="24"/>
          <w:szCs w:val="24"/>
          <w:lang w:val="en-GB"/>
        </w:rPr>
        <w:t xml:space="preserve"> (4) accept</w:t>
      </w:r>
      <w:r w:rsidR="00C2244A" w:rsidRPr="00050DEF">
        <w:rPr>
          <w:rFonts w:ascii="Times New Roman" w:hAnsi="Times New Roman" w:cs="Times New Roman"/>
          <w:sz w:val="24"/>
          <w:szCs w:val="24"/>
          <w:lang w:val="en-GB"/>
        </w:rPr>
        <w:t xml:space="preserve"> – as well </w:t>
      </w:r>
      <w:r w:rsidR="008F1805" w:rsidRPr="00050DEF">
        <w:rPr>
          <w:rFonts w:ascii="Times New Roman" w:hAnsi="Times New Roman" w:cs="Times New Roman"/>
          <w:sz w:val="24"/>
          <w:szCs w:val="24"/>
          <w:lang w:val="en-GB"/>
        </w:rPr>
        <w:t xml:space="preserve">as </w:t>
      </w:r>
      <w:r w:rsidR="00C2244A" w:rsidRPr="00050DEF">
        <w:rPr>
          <w:rFonts w:ascii="Times New Roman" w:hAnsi="Times New Roman" w:cs="Times New Roman"/>
          <w:sz w:val="24"/>
          <w:szCs w:val="24"/>
          <w:lang w:val="en-GB"/>
        </w:rPr>
        <w:t xml:space="preserve">how </w:t>
      </w:r>
      <w:r w:rsidR="006658EF" w:rsidRPr="00050DEF">
        <w:rPr>
          <w:rFonts w:ascii="Times New Roman" w:hAnsi="Times New Roman" w:cs="Times New Roman"/>
          <w:sz w:val="24"/>
          <w:szCs w:val="24"/>
          <w:lang w:val="en-GB"/>
        </w:rPr>
        <w:t>they were</w:t>
      </w:r>
      <w:r w:rsidR="00C2244A" w:rsidRPr="00050DEF">
        <w:rPr>
          <w:rFonts w:ascii="Times New Roman" w:hAnsi="Times New Roman" w:cs="Times New Roman"/>
          <w:sz w:val="24"/>
          <w:szCs w:val="24"/>
          <w:lang w:val="en-GB"/>
        </w:rPr>
        <w:t xml:space="preserve"> combined synchronically and diachronically. </w:t>
      </w:r>
    </w:p>
    <w:p w14:paraId="3622ADE0" w14:textId="77777777" w:rsidR="00633FCF" w:rsidRPr="00050DEF" w:rsidRDefault="00633FCF" w:rsidP="00633FCF">
      <w:pPr>
        <w:spacing w:after="0" w:line="480" w:lineRule="auto"/>
        <w:rPr>
          <w:rFonts w:ascii="Times New Roman" w:hAnsi="Times New Roman" w:cs="Times New Roman"/>
          <w:i/>
          <w:sz w:val="24"/>
          <w:szCs w:val="24"/>
          <w:lang w:val="en-GB"/>
        </w:rPr>
      </w:pPr>
    </w:p>
    <w:p w14:paraId="6B753680"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 xml:space="preserve">Macro-frame I: the discourse </w:t>
      </w:r>
    </w:p>
    <w:p w14:paraId="0AB8BB53" w14:textId="78929BFD" w:rsidR="00534ADB" w:rsidRPr="00050DEF" w:rsidRDefault="00633FCF" w:rsidP="00AD304A">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discourse in the macro-frame on alcohol in Denmark </w:t>
      </w:r>
      <w:r w:rsidR="00BD7DF6" w:rsidRPr="00050DEF">
        <w:rPr>
          <w:rFonts w:ascii="Times New Roman" w:hAnsi="Times New Roman" w:cs="Times New Roman"/>
          <w:sz w:val="24"/>
          <w:szCs w:val="24"/>
          <w:lang w:val="en-GB"/>
        </w:rPr>
        <w:t>witnessed</w:t>
      </w:r>
      <w:r w:rsidRPr="00050DEF">
        <w:rPr>
          <w:rFonts w:ascii="Times New Roman" w:hAnsi="Times New Roman" w:cs="Times New Roman"/>
          <w:sz w:val="24"/>
          <w:szCs w:val="24"/>
          <w:lang w:val="en-GB"/>
        </w:rPr>
        <w:t xml:space="preserve"> a dramatic development </w:t>
      </w:r>
      <w:r w:rsidR="009D6F5A">
        <w:rPr>
          <w:rFonts w:ascii="Times New Roman" w:hAnsi="Times New Roman" w:cs="Times New Roman"/>
          <w:sz w:val="24"/>
          <w:szCs w:val="24"/>
          <w:lang w:val="en-GB"/>
        </w:rPr>
        <w:t>beginning</w:t>
      </w:r>
      <w:r w:rsidRPr="00050DEF">
        <w:rPr>
          <w:rFonts w:ascii="Times New Roman" w:hAnsi="Times New Roman" w:cs="Times New Roman"/>
          <w:sz w:val="24"/>
          <w:szCs w:val="24"/>
          <w:lang w:val="en-GB"/>
        </w:rPr>
        <w:t xml:space="preserve"> in 2004</w:t>
      </w:r>
      <w:r w:rsidR="009C7118"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5 amidst a series of marked policy restrictions on the area (discussed below). </w:t>
      </w:r>
      <w:r w:rsidR="00534ADB" w:rsidRPr="00050DEF">
        <w:rPr>
          <w:rFonts w:ascii="Times New Roman" w:hAnsi="Times New Roman" w:cs="Times New Roman"/>
          <w:sz w:val="24"/>
          <w:szCs w:val="24"/>
          <w:lang w:val="en-GB"/>
        </w:rPr>
        <w:t>Traditionally, Denmark has had a comparatively liberal alcohol policy (</w:t>
      </w:r>
      <w:r w:rsidR="00D13780" w:rsidRPr="00050DEF">
        <w:rPr>
          <w:rFonts w:ascii="Times New Roman" w:hAnsi="Times New Roman" w:cs="Times New Roman"/>
          <w:sz w:val="24"/>
          <w:szCs w:val="24"/>
          <w:lang w:val="en-GB"/>
        </w:rPr>
        <w:t>Butler et al. 2017</w:t>
      </w:r>
      <w:r w:rsidR="00B368A7">
        <w:rPr>
          <w:rFonts w:ascii="Times New Roman" w:hAnsi="Times New Roman" w:cs="Times New Roman"/>
          <w:sz w:val="24"/>
          <w:szCs w:val="24"/>
          <w:lang w:val="en-GB"/>
        </w:rPr>
        <w:t>:</w:t>
      </w:r>
      <w:r w:rsidR="00AD304A" w:rsidRPr="00050DEF">
        <w:rPr>
          <w:rFonts w:ascii="Times New Roman" w:hAnsi="Times New Roman" w:cs="Times New Roman"/>
          <w:sz w:val="24"/>
          <w:szCs w:val="24"/>
          <w:lang w:val="en-GB"/>
        </w:rPr>
        <w:t xml:space="preserve"> 165-166</w:t>
      </w:r>
      <w:r w:rsidR="00D13780" w:rsidRPr="00050DEF">
        <w:rPr>
          <w:rFonts w:ascii="Times New Roman" w:hAnsi="Times New Roman" w:cs="Times New Roman"/>
          <w:sz w:val="24"/>
          <w:szCs w:val="24"/>
          <w:lang w:val="en-GB"/>
        </w:rPr>
        <w:t>). In an international context, a</w:t>
      </w:r>
      <w:r w:rsidR="00534ADB" w:rsidRPr="00050DEF">
        <w:rPr>
          <w:rFonts w:ascii="Times New Roman" w:hAnsi="Times New Roman" w:cs="Times New Roman"/>
          <w:sz w:val="24"/>
          <w:szCs w:val="24"/>
          <w:lang w:val="en-GB"/>
        </w:rPr>
        <w:t xml:space="preserve">lcohol consumption </w:t>
      </w:r>
      <w:r w:rsidR="00D13780" w:rsidRPr="00050DEF">
        <w:rPr>
          <w:rFonts w:ascii="Times New Roman" w:hAnsi="Times New Roman" w:cs="Times New Roman"/>
          <w:sz w:val="24"/>
          <w:szCs w:val="24"/>
          <w:lang w:val="en-GB"/>
        </w:rPr>
        <w:t xml:space="preserve">reached a high of </w:t>
      </w:r>
      <w:r w:rsidR="00534ADB" w:rsidRPr="00050DEF">
        <w:rPr>
          <w:rFonts w:ascii="Times New Roman" w:hAnsi="Times New Roman" w:cs="Times New Roman"/>
          <w:sz w:val="24"/>
          <w:szCs w:val="24"/>
          <w:lang w:val="en-GB"/>
        </w:rPr>
        <w:t>11</w:t>
      </w:r>
      <w:r w:rsidR="009C7118" w:rsidRPr="00050DEF">
        <w:rPr>
          <w:rFonts w:ascii="Times New Roman" w:hAnsi="Times New Roman" w:cs="Times New Roman"/>
          <w:sz w:val="24"/>
          <w:szCs w:val="24"/>
          <w:lang w:val="en-GB"/>
        </w:rPr>
        <w:t>–</w:t>
      </w:r>
      <w:r w:rsidR="00534ADB" w:rsidRPr="00050DEF">
        <w:rPr>
          <w:rFonts w:ascii="Times New Roman" w:hAnsi="Times New Roman" w:cs="Times New Roman"/>
          <w:sz w:val="24"/>
          <w:szCs w:val="24"/>
          <w:lang w:val="en-GB"/>
        </w:rPr>
        <w:t>12 lit</w:t>
      </w:r>
      <w:r w:rsidR="008227C3">
        <w:rPr>
          <w:rFonts w:ascii="Times New Roman" w:hAnsi="Times New Roman" w:cs="Times New Roman"/>
          <w:sz w:val="24"/>
          <w:szCs w:val="24"/>
          <w:lang w:val="en-GB"/>
        </w:rPr>
        <w:t>r</w:t>
      </w:r>
      <w:r w:rsidR="00534ADB" w:rsidRPr="00050DEF">
        <w:rPr>
          <w:rFonts w:ascii="Times New Roman" w:hAnsi="Times New Roman" w:cs="Times New Roman"/>
          <w:sz w:val="24"/>
          <w:szCs w:val="24"/>
          <w:lang w:val="en-GB"/>
        </w:rPr>
        <w:t>es per citizen (15+)</w:t>
      </w:r>
      <w:r w:rsidR="00D13780" w:rsidRPr="00050DEF">
        <w:rPr>
          <w:rFonts w:ascii="Times New Roman" w:hAnsi="Times New Roman" w:cs="Times New Roman"/>
          <w:sz w:val="24"/>
          <w:szCs w:val="24"/>
          <w:lang w:val="en-GB"/>
        </w:rPr>
        <w:t xml:space="preserve"> in the early 1980s and stayed there. Yet, despite increasing international, scientific evidence of social and health risk</w:t>
      </w:r>
      <w:r w:rsidR="006A6626">
        <w:rPr>
          <w:rFonts w:ascii="Times New Roman" w:hAnsi="Times New Roman" w:cs="Times New Roman"/>
          <w:sz w:val="24"/>
          <w:szCs w:val="24"/>
          <w:lang w:val="en-GB"/>
        </w:rPr>
        <w:t>s</w:t>
      </w:r>
      <w:r w:rsidR="00D13780" w:rsidRPr="00050DEF">
        <w:rPr>
          <w:rFonts w:ascii="Times New Roman" w:hAnsi="Times New Roman" w:cs="Times New Roman"/>
          <w:sz w:val="24"/>
          <w:szCs w:val="24"/>
          <w:lang w:val="en-GB"/>
        </w:rPr>
        <w:t xml:space="preserve"> of alcohol consumption and targeted focus from the WHO</w:t>
      </w:r>
      <w:r w:rsidR="00534ADB" w:rsidRPr="00050DEF">
        <w:rPr>
          <w:rFonts w:ascii="Times New Roman" w:hAnsi="Times New Roman" w:cs="Times New Roman"/>
          <w:sz w:val="24"/>
          <w:szCs w:val="24"/>
          <w:lang w:val="en-GB"/>
        </w:rPr>
        <w:t xml:space="preserve">, </w:t>
      </w:r>
      <w:r w:rsidR="00D13780" w:rsidRPr="00050DEF">
        <w:rPr>
          <w:rFonts w:ascii="Times New Roman" w:hAnsi="Times New Roman" w:cs="Times New Roman"/>
          <w:sz w:val="24"/>
          <w:szCs w:val="24"/>
          <w:lang w:val="en-GB"/>
        </w:rPr>
        <w:t xml:space="preserve">Danish politicians did not </w:t>
      </w:r>
      <w:r w:rsidR="00534ADB" w:rsidRPr="00050DEF">
        <w:rPr>
          <w:rFonts w:ascii="Times New Roman" w:hAnsi="Times New Roman" w:cs="Times New Roman"/>
          <w:sz w:val="24"/>
          <w:szCs w:val="24"/>
          <w:lang w:val="en-GB"/>
        </w:rPr>
        <w:t xml:space="preserve">consider </w:t>
      </w:r>
      <w:r w:rsidR="00D13780" w:rsidRPr="00050DEF">
        <w:rPr>
          <w:rFonts w:ascii="Times New Roman" w:hAnsi="Times New Roman" w:cs="Times New Roman"/>
          <w:sz w:val="24"/>
          <w:szCs w:val="24"/>
          <w:lang w:val="en-GB"/>
        </w:rPr>
        <w:t xml:space="preserve">this </w:t>
      </w:r>
      <w:r w:rsidR="00AD304A" w:rsidRPr="00050DEF">
        <w:rPr>
          <w:rFonts w:ascii="Times New Roman" w:hAnsi="Times New Roman" w:cs="Times New Roman"/>
          <w:sz w:val="24"/>
          <w:szCs w:val="24"/>
          <w:lang w:val="en-GB"/>
        </w:rPr>
        <w:t>a</w:t>
      </w:r>
      <w:r w:rsidR="00D13780" w:rsidRPr="00050DEF">
        <w:rPr>
          <w:rFonts w:ascii="Times New Roman" w:hAnsi="Times New Roman" w:cs="Times New Roman"/>
          <w:sz w:val="24"/>
          <w:szCs w:val="24"/>
          <w:lang w:val="en-GB"/>
        </w:rPr>
        <w:t xml:space="preserve"> problem</w:t>
      </w:r>
      <w:r w:rsidR="006A6626">
        <w:rPr>
          <w:rFonts w:ascii="Times New Roman" w:hAnsi="Times New Roman" w:cs="Times New Roman"/>
          <w:sz w:val="24"/>
          <w:szCs w:val="24"/>
          <w:lang w:val="en-GB"/>
        </w:rPr>
        <w:t>,</w:t>
      </w:r>
      <w:r w:rsidR="00534ADB" w:rsidRPr="00050DEF">
        <w:rPr>
          <w:rFonts w:ascii="Times New Roman" w:hAnsi="Times New Roman" w:cs="Times New Roman"/>
          <w:sz w:val="24"/>
          <w:szCs w:val="24"/>
          <w:lang w:val="en-GB"/>
        </w:rPr>
        <w:t xml:space="preserve"> </w:t>
      </w:r>
      <w:r w:rsidR="006A6626">
        <w:rPr>
          <w:rFonts w:ascii="Times New Roman" w:hAnsi="Times New Roman" w:cs="Times New Roman"/>
          <w:sz w:val="24"/>
          <w:szCs w:val="24"/>
          <w:lang w:val="en-GB"/>
        </w:rPr>
        <w:t>a</w:t>
      </w:r>
      <w:r w:rsidR="00D13780" w:rsidRPr="00050DEF">
        <w:rPr>
          <w:rFonts w:ascii="Times New Roman" w:hAnsi="Times New Roman" w:cs="Times New Roman"/>
          <w:sz w:val="24"/>
          <w:szCs w:val="24"/>
          <w:lang w:val="en-GB"/>
        </w:rPr>
        <w:t>t least no</w:t>
      </w:r>
      <w:r w:rsidR="00AD304A" w:rsidRPr="00050DEF">
        <w:rPr>
          <w:rFonts w:ascii="Times New Roman" w:hAnsi="Times New Roman" w:cs="Times New Roman"/>
          <w:sz w:val="24"/>
          <w:szCs w:val="24"/>
          <w:lang w:val="en-GB"/>
        </w:rPr>
        <w:t>t</w:t>
      </w:r>
      <w:r w:rsidR="00D13780" w:rsidRPr="00050DEF">
        <w:rPr>
          <w:rFonts w:ascii="Times New Roman" w:hAnsi="Times New Roman" w:cs="Times New Roman"/>
          <w:sz w:val="24"/>
          <w:szCs w:val="24"/>
          <w:lang w:val="en-GB"/>
        </w:rPr>
        <w:t xml:space="preserve"> until a survey </w:t>
      </w:r>
      <w:r w:rsidR="00AD304A" w:rsidRPr="00050DEF">
        <w:rPr>
          <w:rFonts w:ascii="Times New Roman" w:hAnsi="Times New Roman" w:cs="Times New Roman"/>
          <w:sz w:val="24"/>
          <w:szCs w:val="24"/>
          <w:lang w:val="en-GB"/>
        </w:rPr>
        <w:t xml:space="preserve">that </w:t>
      </w:r>
      <w:r w:rsidR="00D13780" w:rsidRPr="00050DEF">
        <w:rPr>
          <w:rFonts w:ascii="Times New Roman" w:hAnsi="Times New Roman" w:cs="Times New Roman"/>
          <w:sz w:val="24"/>
          <w:szCs w:val="24"/>
          <w:lang w:val="en-GB"/>
        </w:rPr>
        <w:t>receive</w:t>
      </w:r>
      <w:r w:rsidR="00AD304A" w:rsidRPr="00050DEF">
        <w:rPr>
          <w:rFonts w:ascii="Times New Roman" w:hAnsi="Times New Roman" w:cs="Times New Roman"/>
          <w:sz w:val="24"/>
          <w:szCs w:val="24"/>
          <w:lang w:val="en-GB"/>
        </w:rPr>
        <w:t>d</w:t>
      </w:r>
      <w:r w:rsidR="00D13780" w:rsidRPr="00050DEF">
        <w:rPr>
          <w:rFonts w:ascii="Times New Roman" w:hAnsi="Times New Roman" w:cs="Times New Roman"/>
          <w:sz w:val="24"/>
          <w:szCs w:val="24"/>
          <w:lang w:val="en-GB"/>
        </w:rPr>
        <w:t xml:space="preserve"> intense media coverage</w:t>
      </w:r>
      <w:r w:rsidR="00AD304A" w:rsidRPr="00050DEF">
        <w:rPr>
          <w:rFonts w:ascii="Times New Roman" w:hAnsi="Times New Roman" w:cs="Times New Roman"/>
          <w:sz w:val="24"/>
          <w:szCs w:val="24"/>
          <w:lang w:val="en-GB"/>
        </w:rPr>
        <w:t xml:space="preserve"> </w:t>
      </w:r>
      <w:r w:rsidR="00E21C21" w:rsidRPr="00050DEF">
        <w:rPr>
          <w:rFonts w:ascii="Times New Roman" w:hAnsi="Times New Roman" w:cs="Times New Roman"/>
          <w:sz w:val="24"/>
          <w:szCs w:val="24"/>
          <w:lang w:val="en-GB"/>
        </w:rPr>
        <w:t>revealed</w:t>
      </w:r>
      <w:r w:rsidR="009E19F7" w:rsidRPr="00050DEF">
        <w:rPr>
          <w:rFonts w:ascii="Times New Roman" w:hAnsi="Times New Roman" w:cs="Times New Roman"/>
          <w:sz w:val="24"/>
          <w:szCs w:val="24"/>
          <w:lang w:val="en-GB"/>
        </w:rPr>
        <w:t xml:space="preserve"> that</w:t>
      </w:r>
      <w:r w:rsidR="00AD304A" w:rsidRPr="00050DEF">
        <w:rPr>
          <w:rFonts w:ascii="Times New Roman" w:hAnsi="Times New Roman" w:cs="Times New Roman"/>
          <w:sz w:val="24"/>
          <w:szCs w:val="24"/>
          <w:lang w:val="en-GB"/>
        </w:rPr>
        <w:t xml:space="preserve"> </w:t>
      </w:r>
      <w:r w:rsidR="006A6626">
        <w:rPr>
          <w:rFonts w:ascii="Times New Roman" w:hAnsi="Times New Roman" w:cs="Times New Roman"/>
          <w:sz w:val="24"/>
          <w:szCs w:val="24"/>
          <w:lang w:val="en-GB"/>
        </w:rPr>
        <w:t>‘</w:t>
      </w:r>
      <w:r w:rsidR="00AD304A" w:rsidRPr="00050DEF">
        <w:rPr>
          <w:rFonts w:ascii="Times New Roman" w:hAnsi="Times New Roman" w:cs="Times New Roman"/>
          <w:sz w:val="24"/>
          <w:szCs w:val="24"/>
          <w:lang w:val="en-GB"/>
        </w:rPr>
        <w:t xml:space="preserve">Danish </w:t>
      </w:r>
      <w:r w:rsidR="00E21C21" w:rsidRPr="00050DEF">
        <w:rPr>
          <w:rFonts w:ascii="Times New Roman" w:hAnsi="Times New Roman" w:cs="Times New Roman"/>
          <w:sz w:val="24"/>
          <w:szCs w:val="24"/>
          <w:lang w:val="en-GB"/>
        </w:rPr>
        <w:t xml:space="preserve">youngsters </w:t>
      </w:r>
      <w:r w:rsidR="00AD304A" w:rsidRPr="00050DEF">
        <w:rPr>
          <w:rFonts w:ascii="Times New Roman" w:hAnsi="Times New Roman" w:cs="Times New Roman"/>
          <w:sz w:val="24"/>
          <w:szCs w:val="24"/>
          <w:lang w:val="en-GB"/>
        </w:rPr>
        <w:t>consume more alcohol, are more intoxication</w:t>
      </w:r>
      <w:r w:rsidR="00E21C21" w:rsidRPr="00050DEF">
        <w:rPr>
          <w:rFonts w:ascii="Times New Roman" w:hAnsi="Times New Roman" w:cs="Times New Roman"/>
          <w:sz w:val="24"/>
          <w:szCs w:val="24"/>
          <w:lang w:val="en-GB"/>
        </w:rPr>
        <w:t>-</w:t>
      </w:r>
      <w:r w:rsidR="00AD304A" w:rsidRPr="00050DEF">
        <w:rPr>
          <w:rFonts w:ascii="Times New Roman" w:hAnsi="Times New Roman" w:cs="Times New Roman"/>
          <w:sz w:val="24"/>
          <w:szCs w:val="24"/>
          <w:lang w:val="en-GB"/>
        </w:rPr>
        <w:t>oriented and experience more alcohol-related problems than other European youngsters</w:t>
      </w:r>
      <w:r w:rsidR="006A6626">
        <w:rPr>
          <w:rFonts w:ascii="Times New Roman" w:hAnsi="Times New Roman" w:cs="Times New Roman"/>
          <w:sz w:val="24"/>
          <w:szCs w:val="24"/>
          <w:lang w:val="en-GB"/>
        </w:rPr>
        <w:t>’</w:t>
      </w:r>
      <w:r w:rsidR="00E21C21" w:rsidRPr="00050DEF">
        <w:rPr>
          <w:rFonts w:ascii="Times New Roman" w:hAnsi="Times New Roman" w:cs="Times New Roman"/>
          <w:sz w:val="24"/>
          <w:szCs w:val="24"/>
          <w:lang w:val="en-GB"/>
        </w:rPr>
        <w:t xml:space="preserve"> (Butler et al. 2017</w:t>
      </w:r>
      <w:r w:rsidR="00B858E5">
        <w:rPr>
          <w:rFonts w:ascii="Times New Roman" w:hAnsi="Times New Roman" w:cs="Times New Roman"/>
          <w:sz w:val="24"/>
          <w:szCs w:val="24"/>
          <w:lang w:val="en-GB"/>
        </w:rPr>
        <w:t>:</w:t>
      </w:r>
      <w:r w:rsidR="00E21C21" w:rsidRPr="00050DEF">
        <w:rPr>
          <w:rFonts w:ascii="Times New Roman" w:hAnsi="Times New Roman" w:cs="Times New Roman"/>
          <w:sz w:val="24"/>
          <w:szCs w:val="24"/>
          <w:lang w:val="en-GB"/>
        </w:rPr>
        <w:t xml:space="preserve"> 180)</w:t>
      </w:r>
      <w:r w:rsidR="00D13780" w:rsidRPr="00050DEF">
        <w:rPr>
          <w:rFonts w:ascii="Times New Roman" w:hAnsi="Times New Roman" w:cs="Times New Roman"/>
          <w:sz w:val="24"/>
          <w:szCs w:val="24"/>
          <w:lang w:val="en-GB"/>
        </w:rPr>
        <w:t xml:space="preserve">. </w:t>
      </w:r>
      <w:r w:rsidR="00887896" w:rsidRPr="00050DEF">
        <w:rPr>
          <w:rFonts w:ascii="Times New Roman" w:hAnsi="Times New Roman" w:cs="Times New Roman"/>
          <w:sz w:val="24"/>
          <w:szCs w:val="24"/>
          <w:lang w:val="en-GB"/>
        </w:rPr>
        <w:t>Suddenly, local evidence emerged, and this</w:t>
      </w:r>
      <w:r w:rsidR="00E21C21" w:rsidRPr="00050DEF">
        <w:rPr>
          <w:rFonts w:ascii="Times New Roman" w:hAnsi="Times New Roman" w:cs="Times New Roman"/>
          <w:sz w:val="24"/>
          <w:szCs w:val="24"/>
          <w:lang w:val="en-GB"/>
        </w:rPr>
        <w:t xml:space="preserve"> was a wake-up call that </w:t>
      </w:r>
      <w:r w:rsidR="002F2D0B">
        <w:rPr>
          <w:rFonts w:ascii="Times New Roman" w:hAnsi="Times New Roman" w:cs="Times New Roman"/>
          <w:sz w:val="24"/>
          <w:szCs w:val="24"/>
          <w:lang w:val="en-GB"/>
        </w:rPr>
        <w:t>resulted in</w:t>
      </w:r>
      <w:r w:rsidR="00E21C21" w:rsidRPr="00050DEF">
        <w:rPr>
          <w:rFonts w:ascii="Times New Roman" w:hAnsi="Times New Roman" w:cs="Times New Roman"/>
          <w:sz w:val="24"/>
          <w:szCs w:val="24"/>
          <w:lang w:val="en-GB"/>
        </w:rPr>
        <w:t xml:space="preserve"> a sweeping change in Danish alcohol policy. Importantly, as this brief overview shows, this change was exogenous more than endogenous in the sense that </w:t>
      </w:r>
      <w:r w:rsidR="009E19F7" w:rsidRPr="00050DEF">
        <w:rPr>
          <w:rFonts w:ascii="Times New Roman" w:hAnsi="Times New Roman" w:cs="Times New Roman"/>
          <w:sz w:val="24"/>
          <w:szCs w:val="24"/>
          <w:lang w:val="en-GB"/>
        </w:rPr>
        <w:t xml:space="preserve">the </w:t>
      </w:r>
      <w:r w:rsidR="00F93F32">
        <w:rPr>
          <w:rFonts w:ascii="Times New Roman" w:hAnsi="Times New Roman" w:cs="Times New Roman"/>
          <w:sz w:val="24"/>
          <w:szCs w:val="24"/>
          <w:lang w:val="en-GB"/>
        </w:rPr>
        <w:t>B</w:t>
      </w:r>
      <w:r w:rsidR="00E21C21" w:rsidRPr="00050DEF">
        <w:rPr>
          <w:rFonts w:ascii="Times New Roman" w:hAnsi="Times New Roman" w:cs="Times New Roman"/>
          <w:sz w:val="24"/>
          <w:szCs w:val="24"/>
          <w:lang w:val="en-GB"/>
        </w:rPr>
        <w:t>rewer</w:t>
      </w:r>
      <w:r w:rsidR="00F93F32">
        <w:rPr>
          <w:rFonts w:ascii="Times New Roman" w:hAnsi="Times New Roman" w:cs="Times New Roman"/>
          <w:sz w:val="24"/>
          <w:szCs w:val="24"/>
          <w:lang w:val="en-GB"/>
        </w:rPr>
        <w:t>s</w:t>
      </w:r>
      <w:r w:rsidR="003F3C84">
        <w:rPr>
          <w:rFonts w:ascii="Times New Roman" w:hAnsi="Times New Roman" w:cs="Times New Roman"/>
          <w:sz w:val="24"/>
          <w:szCs w:val="24"/>
          <w:lang w:val="en-GB"/>
        </w:rPr>
        <w:t>’</w:t>
      </w:r>
      <w:r w:rsidR="00E21C21" w:rsidRPr="00050DEF">
        <w:rPr>
          <w:rFonts w:ascii="Times New Roman" w:hAnsi="Times New Roman" w:cs="Times New Roman"/>
          <w:sz w:val="24"/>
          <w:szCs w:val="24"/>
          <w:lang w:val="en-GB"/>
        </w:rPr>
        <w:t xml:space="preserve"> </w:t>
      </w:r>
      <w:r w:rsidR="00F93F32">
        <w:rPr>
          <w:rFonts w:ascii="Times New Roman" w:hAnsi="Times New Roman" w:cs="Times New Roman"/>
          <w:sz w:val="24"/>
          <w:szCs w:val="24"/>
          <w:lang w:val="en-GB"/>
        </w:rPr>
        <w:t>A</w:t>
      </w:r>
      <w:r w:rsidR="00E21C21" w:rsidRPr="00050DEF">
        <w:rPr>
          <w:rFonts w:ascii="Times New Roman" w:hAnsi="Times New Roman" w:cs="Times New Roman"/>
          <w:sz w:val="24"/>
          <w:szCs w:val="24"/>
          <w:lang w:val="en-GB"/>
        </w:rPr>
        <w:t xml:space="preserve">ssociation did not </w:t>
      </w:r>
      <w:r w:rsidR="009E19F7" w:rsidRPr="00050DEF">
        <w:rPr>
          <w:rFonts w:ascii="Times New Roman" w:hAnsi="Times New Roman" w:cs="Times New Roman"/>
          <w:sz w:val="24"/>
          <w:szCs w:val="24"/>
          <w:lang w:val="en-GB"/>
        </w:rPr>
        <w:t>falter</w:t>
      </w:r>
      <w:r w:rsidR="00B75EE5" w:rsidRPr="00050DEF">
        <w:rPr>
          <w:rFonts w:ascii="Times New Roman" w:hAnsi="Times New Roman" w:cs="Times New Roman"/>
          <w:sz w:val="24"/>
          <w:szCs w:val="24"/>
          <w:lang w:val="en-GB"/>
        </w:rPr>
        <w:t xml:space="preserve"> or change</w:t>
      </w:r>
      <w:r w:rsidR="002F2D0B">
        <w:rPr>
          <w:rFonts w:ascii="Times New Roman" w:hAnsi="Times New Roman" w:cs="Times New Roman"/>
          <w:sz w:val="24"/>
          <w:szCs w:val="24"/>
          <w:lang w:val="en-GB"/>
        </w:rPr>
        <w:t>d</w:t>
      </w:r>
      <w:r w:rsidR="00B75EE5" w:rsidRPr="00050DEF">
        <w:rPr>
          <w:rFonts w:ascii="Times New Roman" w:hAnsi="Times New Roman" w:cs="Times New Roman"/>
          <w:sz w:val="24"/>
          <w:szCs w:val="24"/>
          <w:lang w:val="en-GB"/>
        </w:rPr>
        <w:t xml:space="preserve"> strategy</w:t>
      </w:r>
      <w:r w:rsidR="009E19F7" w:rsidRPr="00050DEF">
        <w:rPr>
          <w:rFonts w:ascii="Times New Roman" w:hAnsi="Times New Roman" w:cs="Times New Roman"/>
          <w:sz w:val="24"/>
          <w:szCs w:val="24"/>
          <w:lang w:val="en-GB"/>
        </w:rPr>
        <w:t xml:space="preserve"> and</w:t>
      </w:r>
      <w:r w:rsidR="00F93F32">
        <w:rPr>
          <w:rFonts w:ascii="Times New Roman" w:hAnsi="Times New Roman" w:cs="Times New Roman"/>
          <w:sz w:val="24"/>
          <w:szCs w:val="24"/>
          <w:lang w:val="en-GB"/>
        </w:rPr>
        <w:t>,</w:t>
      </w:r>
      <w:r w:rsidR="00B75EE5" w:rsidRPr="00050DEF">
        <w:rPr>
          <w:rFonts w:ascii="Times New Roman" w:hAnsi="Times New Roman" w:cs="Times New Roman"/>
          <w:sz w:val="24"/>
          <w:szCs w:val="24"/>
          <w:lang w:val="en-GB"/>
        </w:rPr>
        <w:t xml:space="preserve"> hence, </w:t>
      </w:r>
      <w:r w:rsidR="008D73D9" w:rsidRPr="00050DEF">
        <w:rPr>
          <w:rFonts w:ascii="Times New Roman" w:hAnsi="Times New Roman" w:cs="Times New Roman"/>
          <w:sz w:val="24"/>
          <w:szCs w:val="24"/>
          <w:lang w:val="en-GB"/>
        </w:rPr>
        <w:t>open</w:t>
      </w:r>
      <w:r w:rsidR="00B75EE5" w:rsidRPr="00050DEF">
        <w:rPr>
          <w:rFonts w:ascii="Times New Roman" w:hAnsi="Times New Roman" w:cs="Times New Roman"/>
          <w:sz w:val="24"/>
          <w:szCs w:val="24"/>
          <w:lang w:val="en-GB"/>
        </w:rPr>
        <w:t>ed</w:t>
      </w:r>
      <w:r w:rsidR="008D73D9" w:rsidRPr="00050DEF">
        <w:rPr>
          <w:rFonts w:ascii="Times New Roman" w:hAnsi="Times New Roman" w:cs="Times New Roman"/>
          <w:sz w:val="24"/>
          <w:szCs w:val="24"/>
          <w:lang w:val="en-GB"/>
        </w:rPr>
        <w:t xml:space="preserve"> up</w:t>
      </w:r>
      <w:r w:rsidR="00E21C21" w:rsidRPr="00050DEF">
        <w:rPr>
          <w:rFonts w:ascii="Times New Roman" w:hAnsi="Times New Roman" w:cs="Times New Roman"/>
          <w:sz w:val="24"/>
          <w:szCs w:val="24"/>
          <w:lang w:val="en-GB"/>
        </w:rPr>
        <w:t xml:space="preserve"> </w:t>
      </w:r>
      <w:r w:rsidR="008D73D9" w:rsidRPr="00050DEF">
        <w:rPr>
          <w:rFonts w:ascii="Times New Roman" w:hAnsi="Times New Roman" w:cs="Times New Roman"/>
          <w:sz w:val="24"/>
          <w:szCs w:val="24"/>
          <w:lang w:val="en-GB"/>
        </w:rPr>
        <w:t xml:space="preserve">for </w:t>
      </w:r>
      <w:r w:rsidR="00E21C21" w:rsidRPr="00050DEF">
        <w:rPr>
          <w:rFonts w:ascii="Times New Roman" w:hAnsi="Times New Roman" w:cs="Times New Roman"/>
          <w:sz w:val="24"/>
          <w:szCs w:val="24"/>
          <w:lang w:val="en-GB"/>
        </w:rPr>
        <w:t xml:space="preserve">this change. </w:t>
      </w:r>
    </w:p>
    <w:p w14:paraId="6BF70523" w14:textId="4948378C" w:rsidR="00633FCF" w:rsidRPr="00050DEF" w:rsidRDefault="00E21C21" w:rsidP="00453151">
      <w:pPr>
        <w:spacing w:after="0" w:line="480" w:lineRule="auto"/>
        <w:ind w:firstLine="720"/>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This change is immediately visible in our data on the discourse. </w:t>
      </w:r>
      <w:r w:rsidR="00633FCF" w:rsidRPr="00050DEF">
        <w:rPr>
          <w:rFonts w:ascii="Times New Roman" w:hAnsi="Times New Roman" w:cs="Times New Roman"/>
          <w:sz w:val="24"/>
          <w:szCs w:val="24"/>
          <w:lang w:val="en-GB"/>
        </w:rPr>
        <w:t>Since the early 1990s, whe</w:t>
      </w:r>
      <w:r w:rsidR="008B7DE5">
        <w:rPr>
          <w:rFonts w:ascii="Times New Roman" w:hAnsi="Times New Roman" w:cs="Times New Roman"/>
          <w:sz w:val="24"/>
          <w:szCs w:val="24"/>
          <w:lang w:val="en-GB"/>
        </w:rPr>
        <w:t>n</w:t>
      </w:r>
      <w:r w:rsidR="00633FCF" w:rsidRPr="00050DEF">
        <w:rPr>
          <w:rFonts w:ascii="Times New Roman" w:hAnsi="Times New Roman" w:cs="Times New Roman"/>
          <w:sz w:val="24"/>
          <w:szCs w:val="24"/>
          <w:lang w:val="en-GB"/>
        </w:rPr>
        <w:t xml:space="preserve"> our data </w:t>
      </w:r>
      <w:r w:rsidR="008B7DE5">
        <w:rPr>
          <w:rFonts w:ascii="Times New Roman" w:hAnsi="Times New Roman" w:cs="Times New Roman"/>
          <w:sz w:val="24"/>
          <w:szCs w:val="24"/>
          <w:lang w:val="en-GB"/>
        </w:rPr>
        <w:t>begin</w:t>
      </w:r>
      <w:r w:rsidR="00633FCF" w:rsidRPr="00050DEF">
        <w:rPr>
          <w:rFonts w:ascii="Times New Roman" w:hAnsi="Times New Roman" w:cs="Times New Roman"/>
          <w:sz w:val="24"/>
          <w:szCs w:val="24"/>
          <w:lang w:val="en-GB"/>
        </w:rPr>
        <w:t xml:space="preserve">, the discourse in the macro-frame has been almost equally divided between </w:t>
      </w:r>
      <w:r w:rsidR="00EB2844" w:rsidRPr="00050DEF">
        <w:rPr>
          <w:rFonts w:ascii="Times New Roman" w:hAnsi="Times New Roman" w:cs="Times New Roman"/>
          <w:sz w:val="24"/>
          <w:szCs w:val="24"/>
          <w:lang w:val="en-GB"/>
        </w:rPr>
        <w:t xml:space="preserve">the business and </w:t>
      </w:r>
      <w:r w:rsidR="00EB2844" w:rsidRPr="00050DEF">
        <w:rPr>
          <w:rFonts w:ascii="Times New Roman" w:hAnsi="Times New Roman" w:cs="Times New Roman"/>
          <w:sz w:val="24"/>
          <w:szCs w:val="24"/>
          <w:lang w:val="en-GB"/>
        </w:rPr>
        <w:lastRenderedPageBreak/>
        <w:t>danger</w:t>
      </w:r>
      <w:r w:rsidR="00633FCF" w:rsidRPr="00050DEF">
        <w:rPr>
          <w:rFonts w:ascii="Times New Roman" w:hAnsi="Times New Roman" w:cs="Times New Roman"/>
          <w:sz w:val="24"/>
          <w:szCs w:val="24"/>
          <w:lang w:val="en-GB"/>
        </w:rPr>
        <w:t xml:space="preserve"> frame</w:t>
      </w:r>
      <w:r w:rsidR="00EB2844" w:rsidRPr="00050DE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 This is visible from the intertwined lines before 2004</w:t>
      </w:r>
      <w:r w:rsidR="00B858E5"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5 in Figure 1</w:t>
      </w:r>
      <w:r w:rsidR="00BF095A">
        <w:rPr>
          <w:rFonts w:ascii="Times New Roman" w:hAnsi="Times New Roman" w:cs="Times New Roman"/>
          <w:sz w:val="24"/>
          <w:szCs w:val="24"/>
          <w:lang w:val="en-GB"/>
        </w:rPr>
        <w:t>A</w:t>
      </w:r>
      <w:r w:rsidR="00633FCF" w:rsidRPr="00050DEF">
        <w:rPr>
          <w:rFonts w:ascii="Times New Roman" w:hAnsi="Times New Roman" w:cs="Times New Roman"/>
          <w:sz w:val="24"/>
          <w:szCs w:val="24"/>
          <w:lang w:val="en-GB"/>
        </w:rPr>
        <w:t>. However, suddenly</w:t>
      </w:r>
      <w:r w:rsidR="008B7DE5">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in 2004</w:t>
      </w:r>
      <w:r w:rsidR="00B858E5"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5, the </w:t>
      </w:r>
      <w:r w:rsidR="00D70C38" w:rsidRPr="00050DEF">
        <w:rPr>
          <w:rFonts w:ascii="Times New Roman" w:hAnsi="Times New Roman" w:cs="Times New Roman"/>
          <w:sz w:val="24"/>
          <w:szCs w:val="24"/>
          <w:lang w:val="en-GB"/>
        </w:rPr>
        <w:t>balance tips</w:t>
      </w:r>
      <w:r w:rsidR="00633FCF" w:rsidRPr="00050DEF">
        <w:rPr>
          <w:rFonts w:ascii="Times New Roman" w:hAnsi="Times New Roman" w:cs="Times New Roman"/>
          <w:sz w:val="24"/>
          <w:szCs w:val="24"/>
          <w:lang w:val="en-GB"/>
        </w:rPr>
        <w:t xml:space="preserve">. The </w:t>
      </w:r>
      <w:r w:rsidR="00D70C38" w:rsidRPr="00050DEF">
        <w:rPr>
          <w:rFonts w:ascii="Times New Roman" w:hAnsi="Times New Roman" w:cs="Times New Roman"/>
          <w:sz w:val="24"/>
          <w:szCs w:val="24"/>
          <w:lang w:val="en-GB"/>
        </w:rPr>
        <w:t>business frame</w:t>
      </w:r>
      <w:r w:rsidR="00633FCF" w:rsidRPr="00050DEF">
        <w:rPr>
          <w:rFonts w:ascii="Times New Roman" w:hAnsi="Times New Roman" w:cs="Times New Roman"/>
          <w:sz w:val="24"/>
          <w:szCs w:val="24"/>
          <w:lang w:val="en-GB"/>
        </w:rPr>
        <w:t xml:space="preserve"> virtually collapses</w:t>
      </w:r>
      <w:r w:rsidR="008B7DE5">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and the </w:t>
      </w:r>
      <w:r w:rsidR="00D70C38" w:rsidRPr="00050DEF">
        <w:rPr>
          <w:rFonts w:ascii="Times New Roman" w:hAnsi="Times New Roman" w:cs="Times New Roman"/>
          <w:sz w:val="24"/>
          <w:szCs w:val="24"/>
          <w:lang w:val="en-GB"/>
        </w:rPr>
        <w:t xml:space="preserve">danger </w:t>
      </w:r>
      <w:r w:rsidR="00633FCF" w:rsidRPr="00050DEF">
        <w:rPr>
          <w:rFonts w:ascii="Times New Roman" w:hAnsi="Times New Roman" w:cs="Times New Roman"/>
          <w:sz w:val="24"/>
          <w:szCs w:val="24"/>
          <w:lang w:val="en-GB"/>
        </w:rPr>
        <w:t>frame jumps</w:t>
      </w:r>
      <w:r w:rsidR="00D70C38" w:rsidRPr="00050DEF">
        <w:rPr>
          <w:rFonts w:ascii="Times New Roman" w:hAnsi="Times New Roman" w:cs="Times New Roman"/>
          <w:sz w:val="24"/>
          <w:szCs w:val="24"/>
          <w:lang w:val="en-GB"/>
        </w:rPr>
        <w:t xml:space="preserve"> upwards</w:t>
      </w:r>
      <w:r w:rsidR="00633FCF" w:rsidRPr="00050DEF">
        <w:rPr>
          <w:rFonts w:ascii="Times New Roman" w:hAnsi="Times New Roman" w:cs="Times New Roman"/>
          <w:sz w:val="24"/>
          <w:szCs w:val="24"/>
          <w:lang w:val="en-GB"/>
        </w:rPr>
        <w:t>. This is a full-blown transformation of the discourse in the macro-frame against the interests of the alcohol</w:t>
      </w:r>
      <w:r w:rsidR="008B7DE5">
        <w:rPr>
          <w:rFonts w:ascii="Times New Roman" w:hAnsi="Times New Roman" w:cs="Times New Roman"/>
          <w:sz w:val="24"/>
          <w:szCs w:val="24"/>
          <w:lang w:val="en-GB"/>
        </w:rPr>
        <w:t xml:space="preserve"> </w:t>
      </w:r>
      <w:r w:rsidR="00633FCF" w:rsidRPr="00050DEF">
        <w:rPr>
          <w:rFonts w:ascii="Times New Roman" w:hAnsi="Times New Roman" w:cs="Times New Roman"/>
          <w:sz w:val="24"/>
          <w:szCs w:val="24"/>
          <w:lang w:val="en-GB"/>
        </w:rPr>
        <w:t>industry</w:t>
      </w:r>
      <w:r w:rsidR="00793D20" w:rsidRPr="00050DEF">
        <w:rPr>
          <w:rFonts w:ascii="Times New Roman" w:hAnsi="Times New Roman" w:cs="Times New Roman"/>
          <w:sz w:val="24"/>
          <w:szCs w:val="24"/>
          <w:lang w:val="en-GB"/>
        </w:rPr>
        <w:t xml:space="preserve">. </w:t>
      </w:r>
      <w:r w:rsidR="004F4535" w:rsidRPr="00050DEF">
        <w:rPr>
          <w:rFonts w:ascii="Times New Roman" w:hAnsi="Times New Roman" w:cs="Times New Roman"/>
          <w:sz w:val="24"/>
          <w:szCs w:val="24"/>
          <w:lang w:val="en-GB"/>
        </w:rPr>
        <w:t xml:space="preserve">The macro-frame could hardly be more misaligned with the goals of the alcohol industry. </w:t>
      </w:r>
      <w:r w:rsidR="00633FCF" w:rsidRPr="00050DEF">
        <w:rPr>
          <w:rFonts w:ascii="Times New Roman" w:hAnsi="Times New Roman" w:cs="Times New Roman"/>
          <w:sz w:val="24"/>
          <w:szCs w:val="24"/>
          <w:lang w:val="en-GB"/>
        </w:rPr>
        <w:t xml:space="preserve">For the next </w:t>
      </w:r>
      <w:r w:rsidR="00420011">
        <w:rPr>
          <w:rFonts w:ascii="Times New Roman" w:hAnsi="Times New Roman" w:cs="Times New Roman"/>
          <w:sz w:val="24"/>
          <w:szCs w:val="24"/>
          <w:lang w:val="en-GB"/>
        </w:rPr>
        <w:t>10</w:t>
      </w:r>
      <w:r w:rsidR="00633FCF" w:rsidRPr="00050DEF">
        <w:rPr>
          <w:rFonts w:ascii="Times New Roman" w:hAnsi="Times New Roman" w:cs="Times New Roman"/>
          <w:sz w:val="24"/>
          <w:szCs w:val="24"/>
          <w:lang w:val="en-GB"/>
        </w:rPr>
        <w:t xml:space="preserve"> years </w:t>
      </w:r>
      <w:r w:rsidR="00420011">
        <w:rPr>
          <w:rFonts w:ascii="Times New Roman" w:hAnsi="Times New Roman" w:cs="Times New Roman"/>
          <w:sz w:val="24"/>
          <w:szCs w:val="24"/>
          <w:lang w:val="en-GB"/>
        </w:rPr>
        <w:t xml:space="preserve">or so </w:t>
      </w:r>
      <w:r w:rsidR="00633FCF" w:rsidRPr="00050DEF">
        <w:rPr>
          <w:rFonts w:ascii="Times New Roman" w:hAnsi="Times New Roman" w:cs="Times New Roman"/>
          <w:sz w:val="24"/>
          <w:szCs w:val="24"/>
          <w:lang w:val="en-GB"/>
        </w:rPr>
        <w:t xml:space="preserve">until 2015, the non-business discourse in the macro-frame remains </w:t>
      </w:r>
      <w:r w:rsidR="004F4535" w:rsidRPr="00050DEF">
        <w:rPr>
          <w:rFonts w:ascii="Times New Roman" w:hAnsi="Times New Roman" w:cs="Times New Roman"/>
          <w:sz w:val="24"/>
          <w:szCs w:val="24"/>
          <w:lang w:val="en-GB"/>
        </w:rPr>
        <w:t>dominant, although it is also worth observing that</w:t>
      </w:r>
      <w:r w:rsidR="00633FCF" w:rsidRPr="00050DEF">
        <w:rPr>
          <w:rFonts w:ascii="Times New Roman" w:hAnsi="Times New Roman" w:cs="Times New Roman"/>
          <w:sz w:val="24"/>
          <w:szCs w:val="24"/>
          <w:lang w:val="en-GB"/>
        </w:rPr>
        <w:t xml:space="preserve"> the dominance tapers somewhat off</w:t>
      </w:r>
      <w:r w:rsidR="004F4535" w:rsidRPr="00050DEF">
        <w:rPr>
          <w:rFonts w:ascii="Times New Roman" w:hAnsi="Times New Roman" w:cs="Times New Roman"/>
          <w:sz w:val="24"/>
          <w:szCs w:val="24"/>
          <w:lang w:val="en-GB"/>
        </w:rPr>
        <w:t xml:space="preserve"> after a few years</w:t>
      </w:r>
      <w:r w:rsidR="00633FCF" w:rsidRPr="00050DEF">
        <w:rPr>
          <w:rFonts w:ascii="Times New Roman" w:hAnsi="Times New Roman" w:cs="Times New Roman"/>
          <w:sz w:val="24"/>
          <w:szCs w:val="24"/>
          <w:lang w:val="en-GB"/>
        </w:rPr>
        <w:t xml:space="preserve">. </w:t>
      </w:r>
      <w:r w:rsidR="004F4535" w:rsidRPr="00050DEF">
        <w:rPr>
          <w:rFonts w:ascii="Times New Roman" w:hAnsi="Times New Roman" w:cs="Times New Roman"/>
          <w:sz w:val="24"/>
          <w:szCs w:val="24"/>
          <w:lang w:val="en-GB"/>
        </w:rPr>
        <w:t>In the early years after the shift, the macro-frame is both very misaligned and hegemonic, while the macro-frame in the latter part remains misaligned but arguably somewhat less hegemonic.</w:t>
      </w:r>
    </w:p>
    <w:p w14:paraId="7E8D136F" w14:textId="77777777" w:rsidR="00793D20" w:rsidRPr="00050DEF" w:rsidRDefault="00793D20" w:rsidP="00633FCF">
      <w:pPr>
        <w:spacing w:after="0" w:line="480" w:lineRule="auto"/>
        <w:rPr>
          <w:rFonts w:ascii="Times New Roman" w:hAnsi="Times New Roman" w:cs="Times New Roman"/>
          <w:sz w:val="24"/>
          <w:szCs w:val="24"/>
          <w:lang w:val="en-GB"/>
        </w:rPr>
      </w:pPr>
    </w:p>
    <w:p w14:paraId="052F961E" w14:textId="7D1F4CDB" w:rsidR="00633FCF" w:rsidRPr="00050DEF" w:rsidRDefault="00633FCF" w:rsidP="00633FCF">
      <w:pPr>
        <w:spacing w:after="0" w:line="480" w:lineRule="auto"/>
        <w:jc w:val="center"/>
        <w:rPr>
          <w:rFonts w:ascii="Times New Roman" w:hAnsi="Times New Roman" w:cs="Times New Roman"/>
          <w:sz w:val="24"/>
          <w:szCs w:val="24"/>
          <w:lang w:val="en-GB"/>
        </w:rPr>
      </w:pPr>
      <w:r w:rsidRPr="00050DEF">
        <w:rPr>
          <w:rFonts w:ascii="Times New Roman" w:hAnsi="Times New Roman" w:cs="Times New Roman"/>
          <w:sz w:val="24"/>
          <w:szCs w:val="24"/>
          <w:lang w:val="en-GB"/>
        </w:rPr>
        <w:t>[Figure 1]</w:t>
      </w:r>
    </w:p>
    <w:p w14:paraId="0D9EBC11" w14:textId="77777777" w:rsidR="005B12F0" w:rsidRPr="00050DEF" w:rsidRDefault="005B12F0" w:rsidP="00633FCF">
      <w:pPr>
        <w:spacing w:after="0" w:line="480" w:lineRule="auto"/>
        <w:rPr>
          <w:rFonts w:ascii="Times New Roman" w:hAnsi="Times New Roman" w:cs="Times New Roman"/>
          <w:i/>
          <w:sz w:val="24"/>
          <w:szCs w:val="24"/>
          <w:lang w:val="en-GB"/>
        </w:rPr>
      </w:pPr>
    </w:p>
    <w:p w14:paraId="1DA19060"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 xml:space="preserve">Macro-frame II: </w:t>
      </w:r>
      <w:r w:rsidR="00D70C38" w:rsidRPr="00050DEF">
        <w:rPr>
          <w:rFonts w:ascii="Times New Roman" w:hAnsi="Times New Roman" w:cs="Times New Roman"/>
          <w:i/>
          <w:sz w:val="24"/>
          <w:szCs w:val="24"/>
          <w:lang w:val="en-GB"/>
        </w:rPr>
        <w:t>calls for policy change</w:t>
      </w:r>
    </w:p>
    <w:p w14:paraId="5A2C6F31" w14:textId="01B4D3CB"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To further substantiate the macro-frame transformation, </w:t>
      </w:r>
      <w:r w:rsidR="00D23588">
        <w:rPr>
          <w:rFonts w:ascii="Times New Roman" w:hAnsi="Times New Roman" w:cs="Times New Roman"/>
          <w:sz w:val="24"/>
          <w:szCs w:val="24"/>
          <w:lang w:val="en-GB"/>
        </w:rPr>
        <w:t xml:space="preserve">we look at </w:t>
      </w:r>
      <w:r w:rsidR="003A6158" w:rsidRPr="00050DEF">
        <w:rPr>
          <w:rFonts w:ascii="Times New Roman" w:hAnsi="Times New Roman" w:cs="Times New Roman"/>
          <w:sz w:val="24"/>
          <w:szCs w:val="24"/>
          <w:lang w:val="en-GB"/>
        </w:rPr>
        <w:t>preferences expressed</w:t>
      </w:r>
      <w:r w:rsidRPr="00050DEF">
        <w:rPr>
          <w:rFonts w:ascii="Times New Roman" w:hAnsi="Times New Roman" w:cs="Times New Roman"/>
          <w:sz w:val="24"/>
          <w:szCs w:val="24"/>
          <w:lang w:val="en-GB"/>
        </w:rPr>
        <w:t xml:space="preserve"> in the </w:t>
      </w:r>
      <w:r w:rsidR="003A6158" w:rsidRPr="00050DEF">
        <w:rPr>
          <w:rFonts w:ascii="Times New Roman" w:hAnsi="Times New Roman" w:cs="Times New Roman"/>
          <w:sz w:val="24"/>
          <w:szCs w:val="24"/>
          <w:lang w:val="en-GB"/>
        </w:rPr>
        <w:t xml:space="preserve">mass </w:t>
      </w:r>
      <w:r w:rsidRPr="00050DEF">
        <w:rPr>
          <w:rFonts w:ascii="Times New Roman" w:hAnsi="Times New Roman" w:cs="Times New Roman"/>
          <w:sz w:val="24"/>
          <w:szCs w:val="24"/>
          <w:lang w:val="en-GB"/>
        </w:rPr>
        <w:t>media for liberali</w:t>
      </w:r>
      <w:r w:rsidR="00420011">
        <w:rPr>
          <w:rFonts w:ascii="Times New Roman" w:hAnsi="Times New Roman" w:cs="Times New Roman"/>
          <w:sz w:val="24"/>
          <w:szCs w:val="24"/>
          <w:lang w:val="en-GB"/>
        </w:rPr>
        <w:t>s</w:t>
      </w:r>
      <w:r w:rsidRPr="00050DEF">
        <w:rPr>
          <w:rFonts w:ascii="Times New Roman" w:hAnsi="Times New Roman" w:cs="Times New Roman"/>
          <w:sz w:val="24"/>
          <w:szCs w:val="24"/>
          <w:lang w:val="en-GB"/>
        </w:rPr>
        <w:t>ation, restrictions, and status quo on the alcohol area</w:t>
      </w:r>
      <w:r w:rsidR="00D23588">
        <w:rPr>
          <w:rFonts w:ascii="Times New Roman" w:hAnsi="Times New Roman" w:cs="Times New Roman"/>
          <w:sz w:val="24"/>
          <w:szCs w:val="24"/>
          <w:lang w:val="en-GB"/>
        </w:rPr>
        <w:t xml:space="preserve"> </w:t>
      </w:r>
      <w:r w:rsidR="00D23588" w:rsidRPr="00050DEF">
        <w:rPr>
          <w:rFonts w:ascii="Times New Roman" w:hAnsi="Times New Roman" w:cs="Times New Roman"/>
          <w:sz w:val="24"/>
          <w:szCs w:val="24"/>
          <w:lang w:val="en-GB"/>
        </w:rPr>
        <w:t xml:space="preserve">(see also </w:t>
      </w:r>
      <w:r w:rsidR="00D23588">
        <w:rPr>
          <w:rFonts w:ascii="Times New Roman" w:hAnsi="Times New Roman" w:cs="Times New Roman"/>
          <w:sz w:val="24"/>
          <w:szCs w:val="24"/>
          <w:lang w:val="en-GB"/>
        </w:rPr>
        <w:t>Figure A1</w:t>
      </w:r>
      <w:r w:rsidR="00D23588" w:rsidRPr="00050DEF">
        <w:rPr>
          <w:rFonts w:ascii="Times New Roman" w:hAnsi="Times New Roman" w:cs="Times New Roman"/>
          <w:sz w:val="24"/>
          <w:szCs w:val="24"/>
          <w:lang w:val="en-GB"/>
        </w:rPr>
        <w:t xml:space="preserve"> in the </w:t>
      </w:r>
      <w:r w:rsidR="00D23588">
        <w:rPr>
          <w:rFonts w:ascii="Times New Roman" w:hAnsi="Times New Roman" w:cs="Times New Roman"/>
          <w:sz w:val="24"/>
          <w:szCs w:val="24"/>
          <w:lang w:val="en-GB"/>
        </w:rPr>
        <w:t xml:space="preserve">online </w:t>
      </w:r>
      <w:r w:rsidR="00D23588" w:rsidRPr="00050DEF">
        <w:rPr>
          <w:rFonts w:ascii="Times New Roman" w:hAnsi="Times New Roman" w:cs="Times New Roman"/>
          <w:sz w:val="24"/>
          <w:szCs w:val="24"/>
          <w:lang w:val="en-GB"/>
        </w:rPr>
        <w:t>appendix)</w:t>
      </w:r>
      <w:r w:rsidRPr="00050DEF">
        <w:rPr>
          <w:rFonts w:ascii="Times New Roman" w:hAnsi="Times New Roman" w:cs="Times New Roman"/>
          <w:sz w:val="24"/>
          <w:szCs w:val="24"/>
          <w:lang w:val="en-GB"/>
        </w:rPr>
        <w:t>. From a situation until 2003</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4 whe</w:t>
      </w:r>
      <w:r w:rsidR="00420011">
        <w:rPr>
          <w:rFonts w:ascii="Times New Roman" w:hAnsi="Times New Roman" w:cs="Times New Roman"/>
          <w:sz w:val="24"/>
          <w:szCs w:val="24"/>
          <w:lang w:val="en-GB"/>
        </w:rPr>
        <w:t>n</w:t>
      </w:r>
      <w:r w:rsidRPr="00050DEF">
        <w:rPr>
          <w:rFonts w:ascii="Times New Roman" w:hAnsi="Times New Roman" w:cs="Times New Roman"/>
          <w:sz w:val="24"/>
          <w:szCs w:val="24"/>
          <w:lang w:val="en-GB"/>
        </w:rPr>
        <w:t xml:space="preserve"> calls for liberali</w:t>
      </w:r>
      <w:r w:rsidR="00420011">
        <w:rPr>
          <w:rFonts w:ascii="Times New Roman" w:hAnsi="Times New Roman" w:cs="Times New Roman"/>
          <w:sz w:val="24"/>
          <w:szCs w:val="24"/>
          <w:lang w:val="en-GB"/>
        </w:rPr>
        <w:t>s</w:t>
      </w:r>
      <w:r w:rsidRPr="00050DEF">
        <w:rPr>
          <w:rFonts w:ascii="Times New Roman" w:hAnsi="Times New Roman" w:cs="Times New Roman"/>
          <w:sz w:val="24"/>
          <w:szCs w:val="24"/>
          <w:lang w:val="en-GB"/>
        </w:rPr>
        <w:t>ation and restrictions were somewhat at par</w:t>
      </w:r>
      <w:r w:rsidR="00D2358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media stories </w:t>
      </w:r>
      <w:r w:rsidR="00420011">
        <w:rPr>
          <w:rFonts w:ascii="Times New Roman" w:hAnsi="Times New Roman" w:cs="Times New Roman"/>
          <w:sz w:val="24"/>
          <w:szCs w:val="24"/>
          <w:lang w:val="en-GB"/>
        </w:rPr>
        <w:t>become</w:t>
      </w:r>
      <w:r w:rsidRPr="00050DEF">
        <w:rPr>
          <w:rFonts w:ascii="Times New Roman" w:hAnsi="Times New Roman" w:cs="Times New Roman"/>
          <w:sz w:val="24"/>
          <w:szCs w:val="24"/>
          <w:lang w:val="en-GB"/>
        </w:rPr>
        <w:t xml:space="preserve"> almost entirely focused on restrictions to alcohol after 2003</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4. </w:t>
      </w:r>
      <w:r w:rsidR="00D23588">
        <w:rPr>
          <w:rFonts w:ascii="Times New Roman" w:hAnsi="Times New Roman" w:cs="Times New Roman"/>
          <w:sz w:val="24"/>
          <w:szCs w:val="24"/>
          <w:lang w:val="en-GB"/>
        </w:rPr>
        <w:t>The call for</w:t>
      </w:r>
      <w:r w:rsidRPr="00050DEF">
        <w:rPr>
          <w:rFonts w:ascii="Times New Roman" w:hAnsi="Times New Roman" w:cs="Times New Roman"/>
          <w:sz w:val="24"/>
          <w:szCs w:val="24"/>
          <w:lang w:val="en-GB"/>
        </w:rPr>
        <w:t xml:space="preserve"> </w:t>
      </w:r>
      <w:r w:rsidR="00477C5C">
        <w:rPr>
          <w:rFonts w:ascii="Times New Roman" w:hAnsi="Times New Roman" w:cs="Times New Roman"/>
          <w:sz w:val="24"/>
          <w:szCs w:val="24"/>
          <w:lang w:val="en-GB"/>
        </w:rPr>
        <w:t>restrictions</w:t>
      </w:r>
      <w:r w:rsidRPr="00050DEF">
        <w:rPr>
          <w:rFonts w:ascii="Times New Roman" w:hAnsi="Times New Roman" w:cs="Times New Roman"/>
          <w:sz w:val="24"/>
          <w:szCs w:val="24"/>
          <w:lang w:val="en-GB"/>
        </w:rPr>
        <w:t xml:space="preserve"> takes a steep, quick climb and continu</w:t>
      </w:r>
      <w:r w:rsidR="00420011">
        <w:rPr>
          <w:rFonts w:ascii="Times New Roman" w:hAnsi="Times New Roman" w:cs="Times New Roman"/>
          <w:sz w:val="24"/>
          <w:szCs w:val="24"/>
          <w:lang w:val="en-GB"/>
        </w:rPr>
        <w:t>e</w:t>
      </w:r>
      <w:r w:rsidRPr="00050DEF">
        <w:rPr>
          <w:rFonts w:ascii="Times New Roman" w:hAnsi="Times New Roman" w:cs="Times New Roman"/>
          <w:sz w:val="24"/>
          <w:szCs w:val="24"/>
          <w:lang w:val="en-GB"/>
        </w:rPr>
        <w:t xml:space="preserve">s to rise for the rest of the period. Meanwhile, the </w:t>
      </w:r>
      <w:r w:rsidR="00D23588">
        <w:rPr>
          <w:rFonts w:ascii="Times New Roman" w:hAnsi="Times New Roman" w:cs="Times New Roman"/>
          <w:sz w:val="24"/>
          <w:szCs w:val="24"/>
          <w:lang w:val="en-GB"/>
        </w:rPr>
        <w:t>call for</w:t>
      </w:r>
      <w:r w:rsidR="00D23588" w:rsidRPr="00050DEF">
        <w:rPr>
          <w:rFonts w:ascii="Times New Roman" w:hAnsi="Times New Roman" w:cs="Times New Roman"/>
          <w:sz w:val="24"/>
          <w:szCs w:val="24"/>
          <w:lang w:val="en-GB"/>
        </w:rPr>
        <w:t xml:space="preserve"> </w:t>
      </w:r>
      <w:r w:rsidR="00477C5C">
        <w:rPr>
          <w:rFonts w:ascii="Times New Roman" w:hAnsi="Times New Roman" w:cs="Times New Roman"/>
          <w:sz w:val="24"/>
          <w:szCs w:val="24"/>
          <w:lang w:val="en-GB"/>
        </w:rPr>
        <w:t>liberalisation</w:t>
      </w:r>
      <w:r w:rsidRPr="00050DEF">
        <w:rPr>
          <w:rFonts w:ascii="Times New Roman" w:hAnsi="Times New Roman" w:cs="Times New Roman"/>
          <w:sz w:val="24"/>
          <w:szCs w:val="24"/>
          <w:lang w:val="en-GB"/>
        </w:rPr>
        <w:t xml:space="preserve"> moves to a persistently low level</w:t>
      </w:r>
      <w:r w:rsidR="00420011">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the call for the status quo drops even further. Hence, </w:t>
      </w:r>
      <w:r w:rsidR="003A6158" w:rsidRPr="00050DEF">
        <w:rPr>
          <w:rFonts w:ascii="Times New Roman" w:hAnsi="Times New Roman" w:cs="Times New Roman"/>
          <w:sz w:val="24"/>
          <w:szCs w:val="24"/>
          <w:lang w:val="en-GB"/>
        </w:rPr>
        <w:t>also on this indicator</w:t>
      </w:r>
      <w:r w:rsidR="00420011">
        <w:rPr>
          <w:rFonts w:ascii="Times New Roman" w:hAnsi="Times New Roman" w:cs="Times New Roman"/>
          <w:sz w:val="24"/>
          <w:szCs w:val="24"/>
          <w:lang w:val="en-GB"/>
        </w:rPr>
        <w:t>,</w:t>
      </w:r>
      <w:r w:rsidR="003A6158" w:rsidRPr="00050DEF">
        <w:rPr>
          <w:rFonts w:ascii="Times New Roman" w:hAnsi="Times New Roman" w:cs="Times New Roman"/>
          <w:sz w:val="24"/>
          <w:szCs w:val="24"/>
          <w:lang w:val="en-GB"/>
        </w:rPr>
        <w:t xml:space="preserve"> we see how</w:t>
      </w:r>
      <w:r w:rsidRPr="00050DEF">
        <w:rPr>
          <w:rFonts w:ascii="Times New Roman" w:hAnsi="Times New Roman" w:cs="Times New Roman"/>
          <w:sz w:val="24"/>
          <w:szCs w:val="24"/>
          <w:lang w:val="en-GB"/>
        </w:rPr>
        <w:t xml:space="preserve"> the macro-frame abruptly turns against the interest of the alcohol enterprise in 2004</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5</w:t>
      </w:r>
      <w:r w:rsidR="003A6158" w:rsidRPr="00050DEF">
        <w:rPr>
          <w:rFonts w:ascii="Times New Roman" w:hAnsi="Times New Roman" w:cs="Times New Roman"/>
          <w:sz w:val="24"/>
          <w:szCs w:val="24"/>
          <w:lang w:val="en-GB"/>
        </w:rPr>
        <w:t>.</w:t>
      </w:r>
    </w:p>
    <w:p w14:paraId="75B28D1B" w14:textId="77777777" w:rsidR="003A6158" w:rsidRPr="00050DEF" w:rsidRDefault="003A6158" w:rsidP="00633FCF">
      <w:pPr>
        <w:spacing w:after="0" w:line="480" w:lineRule="auto"/>
        <w:rPr>
          <w:rFonts w:ascii="Times New Roman" w:hAnsi="Times New Roman" w:cs="Times New Roman"/>
          <w:sz w:val="24"/>
          <w:szCs w:val="24"/>
          <w:lang w:val="en-GB"/>
        </w:rPr>
      </w:pPr>
    </w:p>
    <w:p w14:paraId="5DDC2AA2"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 xml:space="preserve">Macro-frame III: </w:t>
      </w:r>
      <w:r w:rsidR="003A6158" w:rsidRPr="00050DEF">
        <w:rPr>
          <w:rFonts w:ascii="Times New Roman" w:hAnsi="Times New Roman" w:cs="Times New Roman"/>
          <w:i/>
          <w:sz w:val="24"/>
          <w:szCs w:val="24"/>
          <w:lang w:val="en-GB"/>
        </w:rPr>
        <w:t xml:space="preserve">actual </w:t>
      </w:r>
      <w:r w:rsidRPr="00050DEF">
        <w:rPr>
          <w:rFonts w:ascii="Times New Roman" w:hAnsi="Times New Roman" w:cs="Times New Roman"/>
          <w:i/>
          <w:sz w:val="24"/>
          <w:szCs w:val="24"/>
          <w:lang w:val="en-GB"/>
        </w:rPr>
        <w:t>policy change</w:t>
      </w:r>
    </w:p>
    <w:p w14:paraId="2A04E516" w14:textId="214BBC98" w:rsidR="00061F76" w:rsidRPr="00050DEF" w:rsidRDefault="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 xml:space="preserve">This change in the discourse </w:t>
      </w:r>
      <w:r w:rsidR="00793D20" w:rsidRPr="00050DEF">
        <w:rPr>
          <w:rFonts w:ascii="Times New Roman" w:hAnsi="Times New Roman" w:cs="Times New Roman"/>
          <w:sz w:val="24"/>
          <w:szCs w:val="24"/>
          <w:lang w:val="en-GB"/>
        </w:rPr>
        <w:t xml:space="preserve">towards especially health </w:t>
      </w:r>
      <w:r w:rsidRPr="00050DEF">
        <w:rPr>
          <w:rFonts w:ascii="Times New Roman" w:hAnsi="Times New Roman" w:cs="Times New Roman"/>
          <w:sz w:val="24"/>
          <w:szCs w:val="24"/>
          <w:lang w:val="en-GB"/>
        </w:rPr>
        <w:t xml:space="preserve">and call for </w:t>
      </w:r>
      <w:r w:rsidR="00793D20" w:rsidRPr="00050DEF">
        <w:rPr>
          <w:rFonts w:ascii="Times New Roman" w:hAnsi="Times New Roman" w:cs="Times New Roman"/>
          <w:sz w:val="24"/>
          <w:szCs w:val="24"/>
          <w:lang w:val="en-GB"/>
        </w:rPr>
        <w:t>restrictions</w:t>
      </w:r>
      <w:r w:rsidRPr="00050DEF">
        <w:rPr>
          <w:rFonts w:ascii="Times New Roman" w:hAnsi="Times New Roman" w:cs="Times New Roman"/>
          <w:sz w:val="24"/>
          <w:szCs w:val="24"/>
          <w:lang w:val="en-GB"/>
        </w:rPr>
        <w:t xml:space="preserve"> coincides with a large </w:t>
      </w:r>
      <w:r w:rsidR="00B33E4B" w:rsidRPr="00050DEF">
        <w:rPr>
          <w:rFonts w:ascii="Times New Roman" w:hAnsi="Times New Roman" w:cs="Times New Roman"/>
          <w:sz w:val="24"/>
          <w:szCs w:val="24"/>
          <w:lang w:val="en-GB"/>
        </w:rPr>
        <w:t>shift</w:t>
      </w:r>
      <w:r w:rsidRPr="00050DEF">
        <w:rPr>
          <w:rFonts w:ascii="Times New Roman" w:hAnsi="Times New Roman" w:cs="Times New Roman"/>
          <w:sz w:val="24"/>
          <w:szCs w:val="24"/>
          <w:lang w:val="en-GB"/>
        </w:rPr>
        <w:t xml:space="preserve"> in the policy regulation of the alcohol area. </w:t>
      </w:r>
      <w:r w:rsidR="00A22BBB" w:rsidRPr="00050DEF">
        <w:rPr>
          <w:rFonts w:ascii="Times New Roman" w:hAnsi="Times New Roman" w:cs="Times New Roman"/>
          <w:sz w:val="24"/>
          <w:szCs w:val="24"/>
          <w:lang w:val="en-GB"/>
        </w:rPr>
        <w:t>B</w:t>
      </w:r>
      <w:r w:rsidRPr="00050DEF">
        <w:rPr>
          <w:rFonts w:ascii="Times New Roman" w:hAnsi="Times New Roman" w:cs="Times New Roman"/>
          <w:sz w:val="24"/>
          <w:szCs w:val="24"/>
          <w:lang w:val="en-GB"/>
        </w:rPr>
        <w:t>efore the early 2000s, regulation of consumers’ access to alcohol is very limited, and new legislation is mostly directed at offering publicly funded treatment to alcoholics. This changes rather quickly in the early 2000s.</w:t>
      </w:r>
      <w:r w:rsidR="00175F76" w:rsidRPr="00050DEF">
        <w:rPr>
          <w:rFonts w:ascii="Times New Roman" w:hAnsi="Times New Roman" w:cs="Times New Roman"/>
          <w:sz w:val="24"/>
          <w:szCs w:val="24"/>
          <w:lang w:val="en-GB"/>
        </w:rPr>
        <w:t xml:space="preserve"> L</w:t>
      </w:r>
      <w:r w:rsidR="00793D20" w:rsidRPr="00050DEF">
        <w:rPr>
          <w:rFonts w:ascii="Times New Roman" w:hAnsi="Times New Roman" w:cs="Times New Roman"/>
          <w:sz w:val="24"/>
          <w:szCs w:val="24"/>
          <w:lang w:val="en-GB"/>
        </w:rPr>
        <w:t>egislation</w:t>
      </w:r>
      <w:r w:rsidRPr="00050DEF">
        <w:rPr>
          <w:rFonts w:ascii="Times New Roman" w:hAnsi="Times New Roman" w:cs="Times New Roman"/>
          <w:sz w:val="24"/>
          <w:szCs w:val="24"/>
          <w:lang w:val="en-GB"/>
        </w:rPr>
        <w:t xml:space="preserve"> is introduced to limit the access to alcohol in bars and pubs</w:t>
      </w:r>
      <w:r w:rsidR="00175F76" w:rsidRPr="00050DEF">
        <w:rPr>
          <w:rFonts w:ascii="Times New Roman" w:hAnsi="Times New Roman" w:cs="Times New Roman"/>
          <w:sz w:val="24"/>
          <w:szCs w:val="24"/>
          <w:lang w:val="en-GB"/>
        </w:rPr>
        <w:t xml:space="preserve"> (see also Table A1</w:t>
      </w:r>
      <w:r w:rsidR="003D201C">
        <w:rPr>
          <w:rFonts w:ascii="Times New Roman" w:hAnsi="Times New Roman" w:cs="Times New Roman"/>
          <w:sz w:val="24"/>
          <w:szCs w:val="24"/>
          <w:lang w:val="en-GB"/>
        </w:rPr>
        <w:t xml:space="preserve"> and Figure A</w:t>
      </w:r>
      <w:r w:rsidR="00D23588">
        <w:rPr>
          <w:rFonts w:ascii="Times New Roman" w:hAnsi="Times New Roman" w:cs="Times New Roman"/>
          <w:sz w:val="24"/>
          <w:szCs w:val="24"/>
          <w:lang w:val="en-GB"/>
        </w:rPr>
        <w:t>2</w:t>
      </w:r>
      <w:r w:rsidR="00175F76" w:rsidRPr="00050DEF">
        <w:rPr>
          <w:rFonts w:ascii="Times New Roman" w:hAnsi="Times New Roman" w:cs="Times New Roman"/>
          <w:sz w:val="24"/>
          <w:szCs w:val="24"/>
          <w:lang w:val="en-GB"/>
        </w:rPr>
        <w:t xml:space="preserve"> in the </w:t>
      </w:r>
      <w:r w:rsidR="003D201C">
        <w:rPr>
          <w:rFonts w:ascii="Times New Roman" w:hAnsi="Times New Roman" w:cs="Times New Roman"/>
          <w:sz w:val="24"/>
          <w:szCs w:val="24"/>
          <w:lang w:val="en-GB"/>
        </w:rPr>
        <w:t xml:space="preserve">online </w:t>
      </w:r>
      <w:r w:rsidR="00175F76" w:rsidRPr="00050DEF">
        <w:rPr>
          <w:rFonts w:ascii="Times New Roman" w:hAnsi="Times New Roman" w:cs="Times New Roman"/>
          <w:sz w:val="24"/>
          <w:szCs w:val="24"/>
          <w:lang w:val="en-GB"/>
        </w:rPr>
        <w:t>appendix)</w:t>
      </w:r>
      <w:r w:rsidR="009A374A">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009A374A">
        <w:rPr>
          <w:rFonts w:ascii="Times New Roman" w:hAnsi="Times New Roman" w:cs="Times New Roman"/>
          <w:sz w:val="24"/>
          <w:szCs w:val="24"/>
          <w:lang w:val="en-GB"/>
        </w:rPr>
        <w:t>beginning</w:t>
      </w:r>
      <w:r w:rsidRPr="00050DEF">
        <w:rPr>
          <w:rFonts w:ascii="Times New Roman" w:hAnsi="Times New Roman" w:cs="Times New Roman"/>
          <w:sz w:val="24"/>
          <w:szCs w:val="24"/>
          <w:lang w:val="en-GB"/>
        </w:rPr>
        <w:t xml:space="preserve"> in 2002 with the introduction of wider legal opportunities for the police to withdraw the liquor license to a bar that does not serve alcohol in an appropriate way. In 2004, the change intensifies with an increase in the legal age from 15 to 16 years to buy alcohol in shops and groceries. Moreover, restrictions are introduced to the access to use bars for private functions. In particular, alcohol sale becomes prohibited if the host is under 18 years old. At this time, booking a bar was a very common way of celebrating a birthday for young people. Moreover, soft drinks mixed with alcohol with an alcohol level equivalent to a beer were very popular among young people</w:t>
      </w:r>
      <w:r w:rsidR="009A374A">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the increase in VAT in 2004 therefore intends to limit the sale. Meanwhile, and also as a clear sign of the anti-alcohol turn, the punishment for dr</w:t>
      </w:r>
      <w:r w:rsidR="002806AD" w:rsidRPr="00050DEF">
        <w:rPr>
          <w:rFonts w:ascii="Times New Roman" w:hAnsi="Times New Roman" w:cs="Times New Roman"/>
          <w:sz w:val="24"/>
          <w:szCs w:val="24"/>
          <w:lang w:val="en-GB"/>
        </w:rPr>
        <w:t>u</w:t>
      </w:r>
      <w:r w:rsidRPr="00050DEF">
        <w:rPr>
          <w:rFonts w:ascii="Times New Roman" w:hAnsi="Times New Roman" w:cs="Times New Roman"/>
          <w:sz w:val="24"/>
          <w:szCs w:val="24"/>
          <w:lang w:val="en-GB"/>
        </w:rPr>
        <w:t xml:space="preserve">nk-driving as well as for </w:t>
      </w:r>
      <w:r w:rsidR="00477C5C">
        <w:rPr>
          <w:rFonts w:ascii="Times New Roman" w:hAnsi="Times New Roman" w:cs="Times New Roman"/>
          <w:sz w:val="24"/>
          <w:szCs w:val="24"/>
          <w:lang w:val="en-GB"/>
        </w:rPr>
        <w:t xml:space="preserve">causing </w:t>
      </w:r>
      <w:r w:rsidRPr="00050DEF">
        <w:rPr>
          <w:rFonts w:ascii="Times New Roman" w:hAnsi="Times New Roman" w:cs="Times New Roman"/>
          <w:sz w:val="24"/>
          <w:szCs w:val="24"/>
          <w:lang w:val="en-GB"/>
        </w:rPr>
        <w:t xml:space="preserve">accidents </w:t>
      </w:r>
      <w:r w:rsidR="00477C5C">
        <w:rPr>
          <w:rFonts w:ascii="Times New Roman" w:hAnsi="Times New Roman" w:cs="Times New Roman"/>
          <w:sz w:val="24"/>
          <w:szCs w:val="24"/>
          <w:lang w:val="en-GB"/>
        </w:rPr>
        <w:t>through</w:t>
      </w:r>
      <w:r w:rsidRPr="00050DEF">
        <w:rPr>
          <w:rFonts w:ascii="Times New Roman" w:hAnsi="Times New Roman" w:cs="Times New Roman"/>
          <w:sz w:val="24"/>
          <w:szCs w:val="24"/>
          <w:lang w:val="en-GB"/>
        </w:rPr>
        <w:t xml:space="preserve"> dr</w:t>
      </w:r>
      <w:r w:rsidR="002806AD" w:rsidRPr="00050DEF">
        <w:rPr>
          <w:rFonts w:ascii="Times New Roman" w:hAnsi="Times New Roman" w:cs="Times New Roman"/>
          <w:sz w:val="24"/>
          <w:szCs w:val="24"/>
          <w:lang w:val="en-GB"/>
        </w:rPr>
        <w:t>u</w:t>
      </w:r>
      <w:r w:rsidRPr="00050DEF">
        <w:rPr>
          <w:rFonts w:ascii="Times New Roman" w:hAnsi="Times New Roman" w:cs="Times New Roman"/>
          <w:sz w:val="24"/>
          <w:szCs w:val="24"/>
          <w:lang w:val="en-GB"/>
        </w:rPr>
        <w:t>nk-driving is increased markedly in two steps in 2005. First, the maximum penalty for inadvertent manslaughter or damage to a person while driving drunk is increased. Second, an unusually high fine for dr</w:t>
      </w:r>
      <w:r w:rsidR="002806AD" w:rsidRPr="00050DEF">
        <w:rPr>
          <w:rFonts w:ascii="Times New Roman" w:hAnsi="Times New Roman" w:cs="Times New Roman"/>
          <w:sz w:val="24"/>
          <w:szCs w:val="24"/>
          <w:lang w:val="en-GB"/>
        </w:rPr>
        <w:t>u</w:t>
      </w:r>
      <w:r w:rsidRPr="00050DEF">
        <w:rPr>
          <w:rFonts w:ascii="Times New Roman" w:hAnsi="Times New Roman" w:cs="Times New Roman"/>
          <w:sz w:val="24"/>
          <w:szCs w:val="24"/>
          <w:lang w:val="en-GB"/>
        </w:rPr>
        <w:t xml:space="preserve">nk-driving is introduced </w:t>
      </w:r>
      <w:r w:rsidR="009A374A">
        <w:rPr>
          <w:rFonts w:ascii="Times New Roman" w:hAnsi="Times New Roman" w:cs="Times New Roman"/>
          <w:sz w:val="24"/>
          <w:szCs w:val="24"/>
          <w:lang w:val="en-GB"/>
        </w:rPr>
        <w:t>that</w:t>
      </w:r>
      <w:r w:rsidRPr="00050DEF">
        <w:rPr>
          <w:rFonts w:ascii="Times New Roman" w:hAnsi="Times New Roman" w:cs="Times New Roman"/>
          <w:sz w:val="24"/>
          <w:szCs w:val="24"/>
          <w:lang w:val="en-GB"/>
        </w:rPr>
        <w:t xml:space="preserve"> is equivalent to the offender’s monthly salary multiplied by his/her blood alcohol level. Hence, through several measures, the </w:t>
      </w:r>
      <w:r w:rsidR="00061F76" w:rsidRPr="00050DEF">
        <w:rPr>
          <w:rFonts w:ascii="Times New Roman" w:hAnsi="Times New Roman" w:cs="Times New Roman"/>
          <w:sz w:val="24"/>
          <w:szCs w:val="24"/>
          <w:lang w:val="en-GB"/>
        </w:rPr>
        <w:t>regulation of access to and consumption of</w:t>
      </w:r>
      <w:r w:rsidRPr="00050DEF">
        <w:rPr>
          <w:rFonts w:ascii="Times New Roman" w:hAnsi="Times New Roman" w:cs="Times New Roman"/>
          <w:sz w:val="24"/>
          <w:szCs w:val="24"/>
          <w:lang w:val="en-GB"/>
        </w:rPr>
        <w:t xml:space="preserve"> alcohol is severely restricted in 2004</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2005.</w:t>
      </w:r>
      <w:r w:rsidR="003D201C">
        <w:rPr>
          <w:rFonts w:ascii="Times New Roman" w:hAnsi="Times New Roman" w:cs="Times New Roman"/>
          <w:sz w:val="24"/>
          <w:szCs w:val="24"/>
          <w:lang w:val="en-GB"/>
        </w:rPr>
        <w:t xml:space="preserve"> Hence, </w:t>
      </w:r>
      <w:r w:rsidRPr="00050DEF">
        <w:rPr>
          <w:rFonts w:ascii="Times New Roman" w:hAnsi="Times New Roman" w:cs="Times New Roman"/>
          <w:sz w:val="24"/>
          <w:szCs w:val="24"/>
          <w:lang w:val="en-GB"/>
        </w:rPr>
        <w:t>2004</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7 marks a concentration of policy change</w:t>
      </w:r>
      <w:r w:rsidR="00B9085E"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After a few years of rest, a second wave of policy change emerges in 2010</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2013</w:t>
      </w:r>
      <w:r w:rsidR="00061F76" w:rsidRPr="00050DEF">
        <w:rPr>
          <w:rFonts w:ascii="Times New Roman" w:hAnsi="Times New Roman" w:cs="Times New Roman"/>
          <w:sz w:val="24"/>
          <w:szCs w:val="24"/>
          <w:lang w:val="en-GB"/>
        </w:rPr>
        <w:t xml:space="preserve">. </w:t>
      </w:r>
    </w:p>
    <w:p w14:paraId="18D54214" w14:textId="11D5BE5F" w:rsidR="00633FCF" w:rsidRPr="00050DEF" w:rsidRDefault="00061F76" w:rsidP="00061F76">
      <w:pPr>
        <w:spacing w:after="0" w:line="480" w:lineRule="auto"/>
        <w:ind w:firstLine="720"/>
        <w:rPr>
          <w:rFonts w:ascii="Times New Roman" w:hAnsi="Times New Roman" w:cs="Times New Roman"/>
          <w:sz w:val="24"/>
          <w:szCs w:val="24"/>
          <w:lang w:val="en-GB"/>
        </w:rPr>
      </w:pPr>
      <w:r w:rsidRPr="00050DE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 xml:space="preserve">umming up, the macro-frame </w:t>
      </w:r>
      <w:r w:rsidRPr="00050DEF">
        <w:rPr>
          <w:rFonts w:ascii="Times New Roman" w:hAnsi="Times New Roman" w:cs="Times New Roman"/>
          <w:sz w:val="24"/>
          <w:szCs w:val="24"/>
          <w:lang w:val="en-GB"/>
        </w:rPr>
        <w:t>sees</w:t>
      </w:r>
      <w:r w:rsidR="00633FCF" w:rsidRPr="00050DEF">
        <w:rPr>
          <w:rFonts w:ascii="Times New Roman" w:hAnsi="Times New Roman" w:cs="Times New Roman"/>
          <w:sz w:val="24"/>
          <w:szCs w:val="24"/>
          <w:lang w:val="en-GB"/>
        </w:rPr>
        <w:t xml:space="preserve"> a paradigmatic change in 2004</w:t>
      </w:r>
      <w:r w:rsidR="00B858E5"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5. This includes </w:t>
      </w:r>
      <w:r w:rsidR="00A22BBB" w:rsidRPr="00050DEF">
        <w:rPr>
          <w:rFonts w:ascii="Times New Roman" w:hAnsi="Times New Roman" w:cs="Times New Roman"/>
          <w:sz w:val="24"/>
          <w:szCs w:val="24"/>
          <w:lang w:val="en-GB"/>
        </w:rPr>
        <w:t>both</w:t>
      </w:r>
      <w:r w:rsidR="00633FCF" w:rsidRPr="00050DEF">
        <w:rPr>
          <w:rFonts w:ascii="Times New Roman" w:hAnsi="Times New Roman" w:cs="Times New Roman"/>
          <w:sz w:val="24"/>
          <w:szCs w:val="24"/>
          <w:lang w:val="en-GB"/>
        </w:rPr>
        <w:t xml:space="preserve"> a larg</w:t>
      </w:r>
      <w:r w:rsidRPr="00050DEF">
        <w:rPr>
          <w:rFonts w:ascii="Times New Roman" w:hAnsi="Times New Roman" w:cs="Times New Roman"/>
          <w:sz w:val="24"/>
          <w:szCs w:val="24"/>
          <w:lang w:val="en-GB"/>
        </w:rPr>
        <w:t>escale change in the discourse and regulatory environment</w:t>
      </w:r>
      <w:r w:rsidR="00633FCF" w:rsidRPr="00050DEF">
        <w:rPr>
          <w:rFonts w:ascii="Times New Roman" w:hAnsi="Times New Roman" w:cs="Times New Roman"/>
          <w:sz w:val="24"/>
          <w:szCs w:val="24"/>
          <w:lang w:val="en-GB"/>
        </w:rPr>
        <w:t xml:space="preserve">. </w:t>
      </w:r>
      <w:r w:rsidR="00A5674D" w:rsidRPr="00050DEF">
        <w:rPr>
          <w:rFonts w:ascii="Times New Roman" w:hAnsi="Times New Roman" w:cs="Times New Roman"/>
          <w:sz w:val="24"/>
          <w:szCs w:val="24"/>
          <w:lang w:val="en-GB"/>
        </w:rPr>
        <w:t xml:space="preserve">After a few years, however, things revert towards normal, at least in terms of the discourse, which becomes less misaligned and </w:t>
      </w:r>
      <w:r w:rsidR="00A5674D" w:rsidRPr="00050DEF">
        <w:rPr>
          <w:rFonts w:ascii="Times New Roman" w:hAnsi="Times New Roman" w:cs="Times New Roman"/>
          <w:sz w:val="24"/>
          <w:szCs w:val="24"/>
          <w:lang w:val="en-GB"/>
        </w:rPr>
        <w:lastRenderedPageBreak/>
        <w:t>hegemonic. Overall, with these</w:t>
      </w:r>
      <w:r w:rsidR="00633FCF" w:rsidRPr="00050DEF">
        <w:rPr>
          <w:rFonts w:ascii="Times New Roman" w:hAnsi="Times New Roman" w:cs="Times New Roman"/>
          <w:sz w:val="24"/>
          <w:szCs w:val="24"/>
          <w:lang w:val="en-GB"/>
        </w:rPr>
        <w:t xml:space="preserve"> large change</w:t>
      </w:r>
      <w:r w:rsidR="00A5674D" w:rsidRPr="00050DE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 xml:space="preserve"> in the macro-frame, we should expect to see a clear subsequent change also in the micro-frame</w:t>
      </w:r>
      <w:r w:rsidR="00513AC4" w:rsidRPr="00050DEF">
        <w:rPr>
          <w:rFonts w:ascii="Times New Roman" w:hAnsi="Times New Roman" w:cs="Times New Roman"/>
          <w:sz w:val="24"/>
          <w:szCs w:val="24"/>
          <w:lang w:val="en-GB"/>
        </w:rPr>
        <w:t xml:space="preserve"> of the Danish Brewers’ Association</w:t>
      </w:r>
      <w:r w:rsidR="00633FCF" w:rsidRPr="00050DEF">
        <w:rPr>
          <w:rFonts w:ascii="Times New Roman" w:hAnsi="Times New Roman" w:cs="Times New Roman"/>
          <w:sz w:val="24"/>
          <w:szCs w:val="24"/>
          <w:lang w:val="en-GB"/>
        </w:rPr>
        <w:t>. We will analy</w:t>
      </w:r>
      <w:r w:rsidR="00F33688">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e this in the following.</w:t>
      </w:r>
    </w:p>
    <w:p w14:paraId="4854BEE0" w14:textId="77777777" w:rsidR="00061F76" w:rsidRPr="00050DEF" w:rsidRDefault="00061F76" w:rsidP="00633FCF">
      <w:pPr>
        <w:spacing w:after="0" w:line="480" w:lineRule="auto"/>
        <w:rPr>
          <w:rFonts w:ascii="Times New Roman" w:hAnsi="Times New Roman" w:cs="Times New Roman"/>
          <w:sz w:val="24"/>
          <w:szCs w:val="24"/>
          <w:lang w:val="en-GB"/>
        </w:rPr>
      </w:pPr>
    </w:p>
    <w:p w14:paraId="762B6765"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Micro-frame I: degree of engagement – stay or leave?</w:t>
      </w:r>
    </w:p>
    <w:p w14:paraId="7A2A8D97" w14:textId="77777777"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clear change in the macro-frame provides a perfect testing ground to see how interest groups adjust their micro-framing to the macro-frame. How did the </w:t>
      </w:r>
      <w:r w:rsidR="00513AC4" w:rsidRPr="00050DEF">
        <w:rPr>
          <w:rFonts w:ascii="Times New Roman" w:hAnsi="Times New Roman" w:cs="Times New Roman"/>
          <w:sz w:val="24"/>
          <w:szCs w:val="24"/>
          <w:lang w:val="en-GB"/>
        </w:rPr>
        <w:t xml:space="preserve">Danish </w:t>
      </w:r>
      <w:r w:rsidRPr="00050DEF">
        <w:rPr>
          <w:rFonts w:ascii="Times New Roman" w:hAnsi="Times New Roman" w:cs="Times New Roman"/>
          <w:sz w:val="24"/>
          <w:szCs w:val="24"/>
          <w:lang w:val="en-GB"/>
        </w:rPr>
        <w:t>Brewers</w:t>
      </w:r>
      <w:r w:rsidR="00513AC4"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Association react to the hostile turn of the macro-frame? </w:t>
      </w:r>
    </w:p>
    <w:p w14:paraId="4D86DC74" w14:textId="718EE5A4" w:rsidR="00633FCF" w:rsidRPr="00050DEF" w:rsidRDefault="003F3C84" w:rsidP="00633FCF">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Beginning</w:t>
      </w:r>
      <w:r w:rsidR="00633FCF" w:rsidRPr="00050DEF">
        <w:rPr>
          <w:rFonts w:ascii="Times New Roman" w:hAnsi="Times New Roman" w:cs="Times New Roman"/>
          <w:sz w:val="24"/>
          <w:szCs w:val="24"/>
          <w:lang w:val="en-GB"/>
        </w:rPr>
        <w:t xml:space="preserve"> with our first dimension of interest groups’ framing strategy</w:t>
      </w:r>
      <w:r>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w:t>
      </w:r>
      <w:r>
        <w:rPr>
          <w:rFonts w:ascii="Times New Roman" w:hAnsi="Times New Roman" w:cs="Times New Roman"/>
          <w:sz w:val="24"/>
          <w:szCs w:val="24"/>
          <w:lang w:val="en-GB"/>
        </w:rPr>
        <w:t>which</w:t>
      </w:r>
      <w:r w:rsidR="00633FCF" w:rsidRPr="00050DEF">
        <w:rPr>
          <w:rFonts w:ascii="Times New Roman" w:hAnsi="Times New Roman" w:cs="Times New Roman"/>
          <w:sz w:val="24"/>
          <w:szCs w:val="24"/>
          <w:lang w:val="en-GB"/>
        </w:rPr>
        <w:t xml:space="preserve"> focuses on the degree of engagement, the fat black line </w:t>
      </w:r>
      <w:r w:rsidR="00030A76">
        <w:rPr>
          <w:rFonts w:ascii="Times New Roman" w:hAnsi="Times New Roman" w:cs="Times New Roman"/>
          <w:sz w:val="24"/>
          <w:szCs w:val="24"/>
          <w:lang w:val="en-GB"/>
        </w:rPr>
        <w:t xml:space="preserve">in Figure </w:t>
      </w:r>
      <w:r w:rsidR="00BF095A">
        <w:rPr>
          <w:rFonts w:ascii="Times New Roman" w:hAnsi="Times New Roman" w:cs="Times New Roman"/>
          <w:sz w:val="24"/>
          <w:szCs w:val="24"/>
          <w:lang w:val="en-GB"/>
        </w:rPr>
        <w:t>1B</w:t>
      </w:r>
      <w:r w:rsidR="00030A76">
        <w:rPr>
          <w:rFonts w:ascii="Times New Roman" w:hAnsi="Times New Roman" w:cs="Times New Roman"/>
          <w:sz w:val="24"/>
          <w:szCs w:val="24"/>
          <w:lang w:val="en-GB"/>
        </w:rPr>
        <w:t xml:space="preserve"> represents </w:t>
      </w:r>
      <w:r w:rsidR="00633FCF" w:rsidRPr="00050DEF">
        <w:rPr>
          <w:rFonts w:ascii="Times New Roman" w:hAnsi="Times New Roman" w:cs="Times New Roman"/>
          <w:sz w:val="24"/>
          <w:szCs w:val="24"/>
          <w:lang w:val="en-GB"/>
        </w:rPr>
        <w:t>the presence of commercial actors –</w:t>
      </w:r>
      <w:r w:rsidR="00513AC4" w:rsidRPr="00050DEF">
        <w:rPr>
          <w:rFonts w:ascii="Times New Roman" w:hAnsi="Times New Roman" w:cs="Times New Roman"/>
          <w:sz w:val="24"/>
          <w:szCs w:val="24"/>
          <w:lang w:val="en-GB"/>
        </w:rPr>
        <w:t xml:space="preserve"> </w:t>
      </w:r>
      <w:r w:rsidR="00633FCF" w:rsidRPr="00050DEF">
        <w:rPr>
          <w:rFonts w:ascii="Times New Roman" w:hAnsi="Times New Roman" w:cs="Times New Roman"/>
          <w:sz w:val="24"/>
          <w:szCs w:val="24"/>
          <w:lang w:val="en-GB"/>
        </w:rPr>
        <w:t xml:space="preserve">the </w:t>
      </w:r>
      <w:r w:rsidR="00513AC4" w:rsidRPr="00050DEF">
        <w:rPr>
          <w:rFonts w:ascii="Times New Roman" w:hAnsi="Times New Roman" w:cs="Times New Roman"/>
          <w:sz w:val="24"/>
          <w:szCs w:val="24"/>
          <w:lang w:val="en-GB"/>
        </w:rPr>
        <w:t xml:space="preserve">Danish Brewers’ Association </w:t>
      </w:r>
      <w:r w:rsidR="00633FCF" w:rsidRPr="00050DEF">
        <w:rPr>
          <w:rFonts w:ascii="Times New Roman" w:hAnsi="Times New Roman" w:cs="Times New Roman"/>
          <w:sz w:val="24"/>
          <w:szCs w:val="24"/>
          <w:lang w:val="en-GB"/>
        </w:rPr>
        <w:t>and its members – in the media compared to experts (dashed line), users (dotted</w:t>
      </w:r>
      <w:r w:rsidR="00030A76">
        <w:rPr>
          <w:rFonts w:ascii="Times New Roman" w:hAnsi="Times New Roman" w:cs="Times New Roman"/>
          <w:sz w:val="24"/>
          <w:szCs w:val="24"/>
          <w:lang w:val="en-GB"/>
        </w:rPr>
        <w:t xml:space="preserve"> line</w:t>
      </w:r>
      <w:r w:rsidR="00633FCF" w:rsidRPr="00050DEF">
        <w:rPr>
          <w:rFonts w:ascii="Times New Roman" w:hAnsi="Times New Roman" w:cs="Times New Roman"/>
          <w:sz w:val="24"/>
          <w:szCs w:val="24"/>
          <w:lang w:val="en-GB"/>
        </w:rPr>
        <w:t>), and social-medical actors (dash-dot</w:t>
      </w:r>
      <w:r w:rsidR="00030A76">
        <w:rPr>
          <w:rFonts w:ascii="Times New Roman" w:hAnsi="Times New Roman" w:cs="Times New Roman"/>
          <w:sz w:val="24"/>
          <w:szCs w:val="24"/>
          <w:lang w:val="en-GB"/>
        </w:rPr>
        <w:t>ted line</w:t>
      </w:r>
      <w:r w:rsidR="00633FCF" w:rsidRPr="00050DEF">
        <w:rPr>
          <w:rFonts w:ascii="Times New Roman" w:hAnsi="Times New Roman" w:cs="Times New Roman"/>
          <w:sz w:val="24"/>
          <w:szCs w:val="24"/>
          <w:lang w:val="en-GB"/>
        </w:rPr>
        <w:t>). Before the change in the macro-frame in 2004</w:t>
      </w:r>
      <w:r w:rsidR="00B858E5"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5, commercial actors have a steady and even slightly increasing presence in the media during the 1990s and early 2000s. They are in the media far more often than users or social-medical actors but still substantially less than experts are. However, with the change in the macro-frame in 2004</w:t>
      </w:r>
      <w:r w:rsidR="00B858E5"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5, the commercial actors clearly retreat and remain much more silent on the issue in the remaining period. Meanwhile, experts pervade the media. </w:t>
      </w:r>
      <w:r w:rsidR="00513AC4" w:rsidRPr="00050DEF">
        <w:rPr>
          <w:rFonts w:ascii="Times New Roman" w:hAnsi="Times New Roman" w:cs="Times New Roman"/>
          <w:sz w:val="24"/>
          <w:szCs w:val="24"/>
          <w:lang w:val="en-GB"/>
        </w:rPr>
        <w:t>This would suggest that</w:t>
      </w:r>
      <w:r w:rsidR="00633FCF" w:rsidRPr="00050DEF">
        <w:rPr>
          <w:rFonts w:ascii="Times New Roman" w:hAnsi="Times New Roman" w:cs="Times New Roman"/>
          <w:sz w:val="24"/>
          <w:szCs w:val="24"/>
          <w:lang w:val="en-GB"/>
        </w:rPr>
        <w:t xml:space="preserve"> commercial actors partly use the exit strategy (rather than the avoidance strategy</w:t>
      </w:r>
      <w:r w:rsidR="00E17D91">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in which they remain </w:t>
      </w:r>
      <w:r w:rsidR="00513AC4" w:rsidRPr="00050DEF">
        <w:rPr>
          <w:rFonts w:ascii="Times New Roman" w:hAnsi="Times New Roman" w:cs="Times New Roman"/>
          <w:sz w:val="24"/>
          <w:szCs w:val="24"/>
          <w:lang w:val="en-GB"/>
        </w:rPr>
        <w:t>as</w:t>
      </w:r>
      <w:r w:rsidR="00633FCF" w:rsidRPr="00050DEF">
        <w:rPr>
          <w:rFonts w:ascii="Times New Roman" w:hAnsi="Times New Roman" w:cs="Times New Roman"/>
          <w:sz w:val="24"/>
          <w:szCs w:val="24"/>
          <w:lang w:val="en-GB"/>
        </w:rPr>
        <w:t xml:space="preserve"> active</w:t>
      </w:r>
      <w:r w:rsidR="00513AC4" w:rsidRPr="00050DEF">
        <w:rPr>
          <w:rFonts w:ascii="Times New Roman" w:hAnsi="Times New Roman" w:cs="Times New Roman"/>
          <w:sz w:val="24"/>
          <w:szCs w:val="24"/>
          <w:lang w:val="en-GB"/>
        </w:rPr>
        <w:t xml:space="preserve"> as before</w:t>
      </w:r>
      <w:r w:rsidR="00633FCF" w:rsidRPr="00050DEF">
        <w:rPr>
          <w:rFonts w:ascii="Times New Roman" w:hAnsi="Times New Roman" w:cs="Times New Roman"/>
          <w:sz w:val="24"/>
          <w:szCs w:val="24"/>
          <w:lang w:val="en-GB"/>
        </w:rPr>
        <w:t>) by toning down their presence</w:t>
      </w:r>
      <w:r w:rsidR="00513AC4" w:rsidRPr="00050DEF">
        <w:rPr>
          <w:rFonts w:ascii="Times New Roman" w:hAnsi="Times New Roman" w:cs="Times New Roman"/>
          <w:sz w:val="24"/>
          <w:szCs w:val="24"/>
          <w:lang w:val="en-GB"/>
        </w:rPr>
        <w:t xml:space="preserve">, although </w:t>
      </w:r>
      <w:r w:rsidR="00633FCF" w:rsidRPr="00050DEF">
        <w:rPr>
          <w:rFonts w:ascii="Times New Roman" w:hAnsi="Times New Roman" w:cs="Times New Roman"/>
          <w:sz w:val="24"/>
          <w:szCs w:val="24"/>
          <w:lang w:val="en-GB"/>
        </w:rPr>
        <w:t>without leaving the area entirely. Before 2005, their average presence in the media is 15.4 percent, and after 2005</w:t>
      </w:r>
      <w:r w:rsidR="00E17D91">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their presence is down at 10.2 (this difference is statistically significant at p </w:t>
      </w:r>
      <w:r w:rsidR="002806AD" w:rsidRPr="00050DEF">
        <w:rPr>
          <w:rFonts w:ascii="Times New Roman" w:hAnsi="Times New Roman" w:cs="Times New Roman"/>
          <w:sz w:val="24"/>
          <w:szCs w:val="24"/>
          <w:lang w:val="en-GB"/>
        </w:rPr>
        <w:t>&lt;</w:t>
      </w:r>
      <w:r w:rsidR="00633FCF" w:rsidRPr="00050DEF">
        <w:rPr>
          <w:rFonts w:ascii="Times New Roman" w:hAnsi="Times New Roman" w:cs="Times New Roman"/>
          <w:sz w:val="24"/>
          <w:szCs w:val="24"/>
          <w:lang w:val="en-GB"/>
        </w:rPr>
        <w:t xml:space="preserve"> 0.05). </w:t>
      </w:r>
    </w:p>
    <w:p w14:paraId="7A58A645" w14:textId="77777777" w:rsidR="00633FCF" w:rsidRPr="00050DEF" w:rsidRDefault="00633FCF" w:rsidP="00633FCF">
      <w:pPr>
        <w:spacing w:after="0" w:line="480" w:lineRule="auto"/>
        <w:rPr>
          <w:rFonts w:ascii="Times New Roman" w:hAnsi="Times New Roman" w:cs="Times New Roman"/>
          <w:i/>
          <w:sz w:val="24"/>
          <w:szCs w:val="24"/>
          <w:lang w:val="en-GB"/>
        </w:rPr>
      </w:pPr>
    </w:p>
    <w:p w14:paraId="35EF99F5"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Micro-frame II: type of engagement – reject or accept?</w:t>
      </w:r>
    </w:p>
    <w:p w14:paraId="43F20D44" w14:textId="29A29972" w:rsidR="007917AE"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 xml:space="preserve">Parallel to this partial exit, the </w:t>
      </w:r>
      <w:r w:rsidR="007917AE" w:rsidRPr="00050DEF">
        <w:rPr>
          <w:rFonts w:ascii="Times New Roman" w:hAnsi="Times New Roman" w:cs="Times New Roman"/>
          <w:sz w:val="24"/>
          <w:szCs w:val="24"/>
          <w:lang w:val="en-GB"/>
        </w:rPr>
        <w:t xml:space="preserve">Danish Brewers’ Association </w:t>
      </w:r>
      <w:r w:rsidRPr="00050DEF">
        <w:rPr>
          <w:rFonts w:ascii="Times New Roman" w:hAnsi="Times New Roman" w:cs="Times New Roman"/>
          <w:sz w:val="24"/>
          <w:szCs w:val="24"/>
          <w:lang w:val="en-GB"/>
        </w:rPr>
        <w:t>– within the boundaries of its reduced engagement with the issue – immediately changes it</w:t>
      </w:r>
      <w:r w:rsidR="00A22BBB"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approach</w:t>
      </w:r>
      <w:r w:rsidR="00A22BBB" w:rsidRPr="00050DEF">
        <w:rPr>
          <w:rFonts w:ascii="Times New Roman" w:hAnsi="Times New Roman" w:cs="Times New Roman"/>
          <w:sz w:val="24"/>
          <w:szCs w:val="24"/>
          <w:lang w:val="en-GB"/>
        </w:rPr>
        <w:t xml:space="preserve"> to</w:t>
      </w:r>
      <w:r w:rsidRPr="00050DEF">
        <w:rPr>
          <w:rFonts w:ascii="Times New Roman" w:hAnsi="Times New Roman" w:cs="Times New Roman"/>
          <w:sz w:val="24"/>
          <w:szCs w:val="24"/>
          <w:lang w:val="en-GB"/>
        </w:rPr>
        <w:t xml:space="preserve"> the issue. As </w:t>
      </w:r>
      <w:r w:rsidR="002C6014">
        <w:rPr>
          <w:rFonts w:ascii="Times New Roman" w:hAnsi="Times New Roman" w:cs="Times New Roman"/>
          <w:sz w:val="24"/>
          <w:szCs w:val="24"/>
          <w:lang w:val="en-GB"/>
        </w:rPr>
        <w:t xml:space="preserve">is </w:t>
      </w:r>
      <w:r w:rsidRPr="00050DEF">
        <w:rPr>
          <w:rFonts w:ascii="Times New Roman" w:hAnsi="Times New Roman" w:cs="Times New Roman"/>
          <w:sz w:val="24"/>
          <w:szCs w:val="24"/>
          <w:lang w:val="en-GB"/>
        </w:rPr>
        <w:t xml:space="preserve">visible in Figure </w:t>
      </w:r>
      <w:r w:rsidR="00BF095A">
        <w:rPr>
          <w:rFonts w:ascii="Times New Roman" w:hAnsi="Times New Roman" w:cs="Times New Roman"/>
          <w:sz w:val="24"/>
          <w:szCs w:val="24"/>
          <w:lang w:val="en-GB"/>
        </w:rPr>
        <w:t>1C</w:t>
      </w:r>
      <w:r w:rsidRPr="00050DEF">
        <w:rPr>
          <w:rFonts w:ascii="Times New Roman" w:hAnsi="Times New Roman" w:cs="Times New Roman"/>
          <w:sz w:val="24"/>
          <w:szCs w:val="24"/>
          <w:lang w:val="en-GB"/>
        </w:rPr>
        <w:t xml:space="preserve">, </w:t>
      </w:r>
      <w:r w:rsidR="007917AE" w:rsidRPr="00050DEF">
        <w:rPr>
          <w:rFonts w:ascii="Times New Roman" w:hAnsi="Times New Roman" w:cs="Times New Roman"/>
          <w:sz w:val="24"/>
          <w:szCs w:val="24"/>
          <w:lang w:val="en-GB"/>
        </w:rPr>
        <w:t>in its own press releases</w:t>
      </w:r>
      <w:r w:rsidR="002C6014">
        <w:rPr>
          <w:rFonts w:ascii="Times New Roman" w:hAnsi="Times New Roman" w:cs="Times New Roman"/>
          <w:sz w:val="24"/>
          <w:szCs w:val="24"/>
          <w:lang w:val="en-GB"/>
        </w:rPr>
        <w:t>,</w:t>
      </w:r>
      <w:r w:rsidR="007917AE"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it promotes a business frame until about 2006</w:t>
      </w:r>
      <w:r w:rsidR="007917AE" w:rsidRPr="00050DEF">
        <w:rPr>
          <w:rFonts w:ascii="Times New Roman" w:hAnsi="Times New Roman" w:cs="Times New Roman"/>
          <w:sz w:val="24"/>
          <w:szCs w:val="24"/>
          <w:lang w:val="en-GB"/>
        </w:rPr>
        <w:t>. During this period</w:t>
      </w:r>
      <w:r w:rsidR="00A22BBB" w:rsidRPr="00050DEF">
        <w:rPr>
          <w:rFonts w:ascii="Times New Roman" w:hAnsi="Times New Roman" w:cs="Times New Roman"/>
          <w:sz w:val="24"/>
          <w:szCs w:val="24"/>
          <w:lang w:val="en-GB"/>
        </w:rPr>
        <w:t>,</w:t>
      </w:r>
      <w:r w:rsidR="007917AE" w:rsidRPr="00050DEF">
        <w:rPr>
          <w:rFonts w:ascii="Times New Roman" w:hAnsi="Times New Roman" w:cs="Times New Roman"/>
          <w:sz w:val="24"/>
          <w:szCs w:val="24"/>
          <w:lang w:val="en-GB"/>
        </w:rPr>
        <w:t xml:space="preserve"> it</w:t>
      </w:r>
      <w:r w:rsidRPr="00050DEF">
        <w:rPr>
          <w:rFonts w:ascii="Times New Roman" w:hAnsi="Times New Roman" w:cs="Times New Roman"/>
          <w:sz w:val="24"/>
          <w:szCs w:val="24"/>
          <w:lang w:val="en-GB"/>
        </w:rPr>
        <w:t xml:space="preserve"> spend</w:t>
      </w:r>
      <w:r w:rsidR="007917AE"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64.6 percent of its </w:t>
      </w:r>
      <w:r w:rsidR="007917AE" w:rsidRPr="00050DEF">
        <w:rPr>
          <w:rFonts w:ascii="Times New Roman" w:hAnsi="Times New Roman" w:cs="Times New Roman"/>
          <w:sz w:val="24"/>
          <w:szCs w:val="24"/>
          <w:lang w:val="en-GB"/>
        </w:rPr>
        <w:t>press releases on</w:t>
      </w:r>
      <w:r w:rsidRPr="00050DEF">
        <w:rPr>
          <w:rFonts w:ascii="Times New Roman" w:hAnsi="Times New Roman" w:cs="Times New Roman"/>
          <w:sz w:val="24"/>
          <w:szCs w:val="24"/>
          <w:lang w:val="en-GB"/>
        </w:rPr>
        <w:t xml:space="preserve"> th</w:t>
      </w:r>
      <w:r w:rsidR="007917AE" w:rsidRPr="00050DEF">
        <w:rPr>
          <w:rFonts w:ascii="Times New Roman" w:hAnsi="Times New Roman" w:cs="Times New Roman"/>
          <w:sz w:val="24"/>
          <w:szCs w:val="24"/>
          <w:lang w:val="en-GB"/>
        </w:rPr>
        <w:t>e</w:t>
      </w:r>
      <w:r w:rsidRPr="00050DEF">
        <w:rPr>
          <w:rFonts w:ascii="Times New Roman" w:hAnsi="Times New Roman" w:cs="Times New Roman"/>
          <w:sz w:val="24"/>
          <w:szCs w:val="24"/>
          <w:lang w:val="en-GB"/>
        </w:rPr>
        <w:t xml:space="preserve"> frame</w:t>
      </w:r>
      <w:r w:rsidR="007917AE" w:rsidRPr="00050DEF">
        <w:rPr>
          <w:rFonts w:ascii="Times New Roman" w:hAnsi="Times New Roman" w:cs="Times New Roman"/>
          <w:sz w:val="24"/>
          <w:szCs w:val="24"/>
          <w:lang w:val="en-GB"/>
        </w:rPr>
        <w:t xml:space="preserve">, while it </w:t>
      </w:r>
      <w:r w:rsidRPr="00050DEF">
        <w:rPr>
          <w:rFonts w:ascii="Times New Roman" w:hAnsi="Times New Roman" w:cs="Times New Roman"/>
          <w:sz w:val="24"/>
          <w:szCs w:val="24"/>
          <w:lang w:val="en-GB"/>
        </w:rPr>
        <w:t xml:space="preserve">only </w:t>
      </w:r>
      <w:r w:rsidR="007917AE" w:rsidRPr="00050DEF">
        <w:rPr>
          <w:rFonts w:ascii="Times New Roman" w:hAnsi="Times New Roman" w:cs="Times New Roman"/>
          <w:sz w:val="24"/>
          <w:szCs w:val="24"/>
          <w:lang w:val="en-GB"/>
        </w:rPr>
        <w:t>spends</w:t>
      </w:r>
      <w:r w:rsidR="002C6014">
        <w:rPr>
          <w:rFonts w:ascii="Times New Roman" w:hAnsi="Times New Roman" w:cs="Times New Roman"/>
          <w:sz w:val="24"/>
          <w:szCs w:val="24"/>
          <w:lang w:val="en-GB"/>
        </w:rPr>
        <w:t xml:space="preserve"> on average</w:t>
      </w:r>
      <w:r w:rsidR="007917AE"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18.8 percent of its </w:t>
      </w:r>
      <w:r w:rsidR="007917AE" w:rsidRPr="00050DEF">
        <w:rPr>
          <w:rFonts w:ascii="Times New Roman" w:hAnsi="Times New Roman" w:cs="Times New Roman"/>
          <w:sz w:val="24"/>
          <w:szCs w:val="24"/>
          <w:lang w:val="en-GB"/>
        </w:rPr>
        <w:t xml:space="preserve">press releases on </w:t>
      </w:r>
      <w:r w:rsidR="00A22BBB" w:rsidRPr="00050DEF">
        <w:rPr>
          <w:rFonts w:ascii="Times New Roman" w:hAnsi="Times New Roman" w:cs="Times New Roman"/>
          <w:sz w:val="24"/>
          <w:szCs w:val="24"/>
          <w:lang w:val="en-GB"/>
        </w:rPr>
        <w:t>the danger frame</w:t>
      </w:r>
      <w:r w:rsidRPr="00050DEF">
        <w:rPr>
          <w:rFonts w:ascii="Times New Roman" w:hAnsi="Times New Roman" w:cs="Times New Roman"/>
          <w:sz w:val="24"/>
          <w:szCs w:val="24"/>
          <w:lang w:val="en-GB"/>
        </w:rPr>
        <w:t xml:space="preserve">. However, in 2007, the </w:t>
      </w:r>
      <w:r w:rsidR="007917AE" w:rsidRPr="00050DEF">
        <w:rPr>
          <w:rFonts w:ascii="Times New Roman" w:hAnsi="Times New Roman" w:cs="Times New Roman"/>
          <w:sz w:val="24"/>
          <w:szCs w:val="24"/>
          <w:lang w:val="en-GB"/>
        </w:rPr>
        <w:t xml:space="preserve">Danish Brewers’ Association </w:t>
      </w:r>
      <w:r w:rsidRPr="00050DEF">
        <w:rPr>
          <w:rFonts w:ascii="Times New Roman" w:hAnsi="Times New Roman" w:cs="Times New Roman"/>
          <w:sz w:val="24"/>
          <w:szCs w:val="24"/>
          <w:lang w:val="en-GB"/>
        </w:rPr>
        <w:t xml:space="preserve">follows the switch in the macro-frame and almost entirely leaves the business frame and adopts the </w:t>
      </w:r>
      <w:r w:rsidR="00875ED1" w:rsidRPr="00050DEF">
        <w:rPr>
          <w:rFonts w:ascii="Times New Roman" w:hAnsi="Times New Roman" w:cs="Times New Roman"/>
          <w:sz w:val="24"/>
          <w:szCs w:val="24"/>
          <w:lang w:val="en-GB"/>
        </w:rPr>
        <w:t>danger</w:t>
      </w:r>
      <w:r w:rsidRPr="00050DEF">
        <w:rPr>
          <w:rFonts w:ascii="Times New Roman" w:hAnsi="Times New Roman" w:cs="Times New Roman"/>
          <w:sz w:val="24"/>
          <w:szCs w:val="24"/>
          <w:lang w:val="en-GB"/>
        </w:rPr>
        <w:t xml:space="preserve"> frame. For th</w:t>
      </w:r>
      <w:r w:rsidR="00875ED1" w:rsidRPr="00050DEF">
        <w:rPr>
          <w:rFonts w:ascii="Times New Roman" w:hAnsi="Times New Roman" w:cs="Times New Roman"/>
          <w:sz w:val="24"/>
          <w:szCs w:val="24"/>
          <w:lang w:val="en-GB"/>
        </w:rPr>
        <w:t xml:space="preserve">e next five years, the business </w:t>
      </w:r>
      <w:r w:rsidRPr="00050DEF">
        <w:rPr>
          <w:rFonts w:ascii="Times New Roman" w:hAnsi="Times New Roman" w:cs="Times New Roman"/>
          <w:sz w:val="24"/>
          <w:szCs w:val="24"/>
          <w:lang w:val="en-GB"/>
        </w:rPr>
        <w:t>frame makes up only 36.9 percent of its engagement with the issue</w:t>
      </w:r>
      <w:r w:rsidR="002C6014">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while the </w:t>
      </w:r>
      <w:r w:rsidR="00875ED1" w:rsidRPr="00050DEF">
        <w:rPr>
          <w:rFonts w:ascii="Times New Roman" w:hAnsi="Times New Roman" w:cs="Times New Roman"/>
          <w:sz w:val="24"/>
          <w:szCs w:val="24"/>
          <w:lang w:val="en-GB"/>
        </w:rPr>
        <w:t>danger</w:t>
      </w:r>
      <w:r w:rsidRPr="00050DEF">
        <w:rPr>
          <w:rFonts w:ascii="Times New Roman" w:hAnsi="Times New Roman" w:cs="Times New Roman"/>
          <w:sz w:val="24"/>
          <w:szCs w:val="24"/>
          <w:lang w:val="en-GB"/>
        </w:rPr>
        <w:t xml:space="preserve"> frame jumps to 57.3 percent. These changes in the use of the frames are statistically significant (p &lt; 0.05). </w:t>
      </w:r>
    </w:p>
    <w:p w14:paraId="37F3CB8F" w14:textId="4E6B9A14" w:rsidR="00633FCF" w:rsidRPr="00050DEF" w:rsidRDefault="00633FCF" w:rsidP="007917AE">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w:t>
      </w:r>
      <w:r w:rsidR="00875ED1" w:rsidRPr="00050DEF">
        <w:rPr>
          <w:rFonts w:ascii="Times New Roman" w:hAnsi="Times New Roman" w:cs="Times New Roman"/>
          <w:sz w:val="24"/>
          <w:szCs w:val="24"/>
          <w:lang w:val="en-GB"/>
        </w:rPr>
        <w:t xml:space="preserve">Danish Brewers’ Association </w:t>
      </w:r>
      <w:r w:rsidRPr="00050DEF">
        <w:rPr>
          <w:rFonts w:ascii="Times New Roman" w:hAnsi="Times New Roman" w:cs="Times New Roman"/>
          <w:sz w:val="24"/>
          <w:szCs w:val="24"/>
          <w:lang w:val="en-GB"/>
        </w:rPr>
        <w:t xml:space="preserve">maintains the </w:t>
      </w:r>
      <w:r w:rsidR="00875ED1" w:rsidRPr="00050DEF">
        <w:rPr>
          <w:rFonts w:ascii="Times New Roman" w:hAnsi="Times New Roman" w:cs="Times New Roman"/>
          <w:sz w:val="24"/>
          <w:szCs w:val="24"/>
          <w:lang w:val="en-GB"/>
        </w:rPr>
        <w:t>danger</w:t>
      </w:r>
      <w:r w:rsidRPr="00050DEF">
        <w:rPr>
          <w:rFonts w:ascii="Times New Roman" w:hAnsi="Times New Roman" w:cs="Times New Roman"/>
          <w:sz w:val="24"/>
          <w:szCs w:val="24"/>
          <w:lang w:val="en-GB"/>
        </w:rPr>
        <w:t xml:space="preserve"> frame, which is consonant with the new macro-frame but counter to its own long-term interests, until the macro-frame </w:t>
      </w:r>
      <w:r w:rsidR="002C6014">
        <w:rPr>
          <w:rFonts w:ascii="Times New Roman" w:hAnsi="Times New Roman" w:cs="Times New Roman"/>
          <w:sz w:val="24"/>
          <w:szCs w:val="24"/>
          <w:lang w:val="en-GB"/>
        </w:rPr>
        <w:t>begins to</w:t>
      </w:r>
      <w:r w:rsidRPr="00050DEF">
        <w:rPr>
          <w:rFonts w:ascii="Times New Roman" w:hAnsi="Times New Roman" w:cs="Times New Roman"/>
          <w:sz w:val="24"/>
          <w:szCs w:val="24"/>
          <w:lang w:val="en-GB"/>
        </w:rPr>
        <w:t xml:space="preserve"> regress towards its previous l</w:t>
      </w:r>
      <w:r w:rsidR="00875ED1" w:rsidRPr="00050DEF">
        <w:rPr>
          <w:rFonts w:ascii="Times New Roman" w:hAnsi="Times New Roman" w:cs="Times New Roman"/>
          <w:sz w:val="24"/>
          <w:szCs w:val="24"/>
          <w:lang w:val="en-GB"/>
        </w:rPr>
        <w:t>onger-term trend (see Figure 1</w:t>
      </w:r>
      <w:r w:rsidR="00BF095A">
        <w:rPr>
          <w:rFonts w:ascii="Times New Roman" w:hAnsi="Times New Roman" w:cs="Times New Roman"/>
          <w:sz w:val="24"/>
          <w:szCs w:val="24"/>
          <w:lang w:val="en-GB"/>
        </w:rPr>
        <w:t>A</w:t>
      </w:r>
      <w:r w:rsidR="00875ED1"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where the business and the </w:t>
      </w:r>
      <w:r w:rsidR="00875ED1" w:rsidRPr="00050DEF">
        <w:rPr>
          <w:rFonts w:ascii="Times New Roman" w:hAnsi="Times New Roman" w:cs="Times New Roman"/>
          <w:sz w:val="24"/>
          <w:szCs w:val="24"/>
          <w:lang w:val="en-GB"/>
        </w:rPr>
        <w:t>danger</w:t>
      </w:r>
      <w:r w:rsidRPr="00050DEF">
        <w:rPr>
          <w:rFonts w:ascii="Times New Roman" w:hAnsi="Times New Roman" w:cs="Times New Roman"/>
          <w:sz w:val="24"/>
          <w:szCs w:val="24"/>
          <w:lang w:val="en-GB"/>
        </w:rPr>
        <w:t xml:space="preserve"> frame</w:t>
      </w:r>
      <w:r w:rsidR="00875ED1" w:rsidRPr="00050DEF">
        <w:rPr>
          <w:rFonts w:ascii="Times New Roman" w:hAnsi="Times New Roman" w:cs="Times New Roman"/>
          <w:sz w:val="24"/>
          <w:szCs w:val="24"/>
          <w:lang w:val="en-GB"/>
        </w:rPr>
        <w:t>s again</w:t>
      </w:r>
      <w:r w:rsidRPr="00050DEF">
        <w:rPr>
          <w:rFonts w:ascii="Times New Roman" w:hAnsi="Times New Roman" w:cs="Times New Roman"/>
          <w:sz w:val="24"/>
          <w:szCs w:val="24"/>
          <w:lang w:val="en-GB"/>
        </w:rPr>
        <w:t xml:space="preserve"> </w:t>
      </w:r>
      <w:r w:rsidR="00875ED1" w:rsidRPr="00050DEF">
        <w:rPr>
          <w:rFonts w:ascii="Times New Roman" w:hAnsi="Times New Roman" w:cs="Times New Roman"/>
          <w:sz w:val="24"/>
          <w:szCs w:val="24"/>
          <w:lang w:val="en-GB"/>
        </w:rPr>
        <w:t>carry a more equal weight</w:t>
      </w:r>
      <w:r w:rsidRPr="00050DEF">
        <w:rPr>
          <w:rFonts w:ascii="Times New Roman" w:hAnsi="Times New Roman" w:cs="Times New Roman"/>
          <w:sz w:val="24"/>
          <w:szCs w:val="24"/>
          <w:lang w:val="en-GB"/>
        </w:rPr>
        <w:t>. At this point – after having focused on the</w:t>
      </w:r>
      <w:r w:rsidR="00875ED1" w:rsidRPr="00050DEF">
        <w:rPr>
          <w:rFonts w:ascii="Times New Roman" w:hAnsi="Times New Roman" w:cs="Times New Roman"/>
          <w:sz w:val="24"/>
          <w:szCs w:val="24"/>
          <w:lang w:val="en-GB"/>
        </w:rPr>
        <w:t xml:space="preserve"> danger </w:t>
      </w:r>
      <w:r w:rsidRPr="00050DEF">
        <w:rPr>
          <w:rFonts w:ascii="Times New Roman" w:hAnsi="Times New Roman" w:cs="Times New Roman"/>
          <w:sz w:val="24"/>
          <w:szCs w:val="24"/>
          <w:lang w:val="en-GB"/>
        </w:rPr>
        <w:t xml:space="preserve">frame for about five years – the </w:t>
      </w:r>
      <w:r w:rsidR="00875ED1" w:rsidRPr="00050DEF">
        <w:rPr>
          <w:rFonts w:ascii="Times New Roman" w:hAnsi="Times New Roman" w:cs="Times New Roman"/>
          <w:sz w:val="24"/>
          <w:szCs w:val="24"/>
          <w:lang w:val="en-GB"/>
        </w:rPr>
        <w:t>balance shifts</w:t>
      </w:r>
      <w:r w:rsidR="003A0357" w:rsidRPr="00050DEF">
        <w:rPr>
          <w:rFonts w:ascii="Times New Roman" w:hAnsi="Times New Roman" w:cs="Times New Roman"/>
          <w:sz w:val="24"/>
          <w:szCs w:val="24"/>
          <w:lang w:val="en-GB"/>
        </w:rPr>
        <w:t xml:space="preserve"> again</w:t>
      </w:r>
      <w:r w:rsidRPr="00050DEF">
        <w:rPr>
          <w:rFonts w:ascii="Times New Roman" w:hAnsi="Times New Roman" w:cs="Times New Roman"/>
          <w:sz w:val="24"/>
          <w:szCs w:val="24"/>
          <w:lang w:val="en-GB"/>
        </w:rPr>
        <w:t xml:space="preserve">, and the </w:t>
      </w:r>
      <w:r w:rsidR="00875ED1" w:rsidRPr="00050DEF">
        <w:rPr>
          <w:rFonts w:ascii="Times New Roman" w:hAnsi="Times New Roman" w:cs="Times New Roman"/>
          <w:sz w:val="24"/>
          <w:szCs w:val="24"/>
          <w:lang w:val="en-GB"/>
        </w:rPr>
        <w:t>Danish Brewers’ Association returns to predominantly promoting</w:t>
      </w:r>
      <w:r w:rsidRPr="00050DEF">
        <w:rPr>
          <w:rFonts w:ascii="Times New Roman" w:hAnsi="Times New Roman" w:cs="Times New Roman"/>
          <w:sz w:val="24"/>
          <w:szCs w:val="24"/>
          <w:lang w:val="en-GB"/>
        </w:rPr>
        <w:t xml:space="preserve"> a business frame. Back where it </w:t>
      </w:r>
      <w:r w:rsidR="002C6014">
        <w:rPr>
          <w:rFonts w:ascii="Times New Roman" w:hAnsi="Times New Roman" w:cs="Times New Roman"/>
          <w:sz w:val="24"/>
          <w:szCs w:val="24"/>
          <w:lang w:val="en-GB"/>
        </w:rPr>
        <w:t>began</w:t>
      </w:r>
      <w:r w:rsidRPr="00050DEF">
        <w:rPr>
          <w:rFonts w:ascii="Times New Roman" w:hAnsi="Times New Roman" w:cs="Times New Roman"/>
          <w:sz w:val="24"/>
          <w:szCs w:val="24"/>
          <w:lang w:val="en-GB"/>
        </w:rPr>
        <w:t xml:space="preserve">, it spends 55.9 percent of its engagement on the business frame and only 34.1 on </w:t>
      </w:r>
      <w:r w:rsidR="00875ED1" w:rsidRPr="00050DEF">
        <w:rPr>
          <w:rFonts w:ascii="Times New Roman" w:hAnsi="Times New Roman" w:cs="Times New Roman"/>
          <w:sz w:val="24"/>
          <w:szCs w:val="24"/>
          <w:lang w:val="en-GB"/>
        </w:rPr>
        <w:t xml:space="preserve">the </w:t>
      </w:r>
      <w:r w:rsidR="003A0357" w:rsidRPr="00050DEF">
        <w:rPr>
          <w:rFonts w:ascii="Times New Roman" w:hAnsi="Times New Roman" w:cs="Times New Roman"/>
          <w:sz w:val="24"/>
          <w:szCs w:val="24"/>
          <w:lang w:val="en-GB"/>
        </w:rPr>
        <w:t>danger</w:t>
      </w:r>
      <w:r w:rsidR="00875ED1" w:rsidRPr="00050DEF">
        <w:rPr>
          <w:rFonts w:ascii="Times New Roman" w:hAnsi="Times New Roman" w:cs="Times New Roman"/>
          <w:sz w:val="24"/>
          <w:szCs w:val="24"/>
          <w:lang w:val="en-GB"/>
        </w:rPr>
        <w:t xml:space="preserve"> frame. T</w:t>
      </w:r>
      <w:r w:rsidR="003A0357" w:rsidRPr="00050DEF">
        <w:rPr>
          <w:rFonts w:ascii="Times New Roman" w:hAnsi="Times New Roman" w:cs="Times New Roman"/>
          <w:sz w:val="24"/>
          <w:szCs w:val="24"/>
          <w:lang w:val="en-GB"/>
        </w:rPr>
        <w:t>he change</w:t>
      </w:r>
      <w:r w:rsidRPr="00050DEF">
        <w:rPr>
          <w:rFonts w:ascii="Times New Roman" w:hAnsi="Times New Roman" w:cs="Times New Roman"/>
          <w:sz w:val="24"/>
          <w:szCs w:val="24"/>
          <w:lang w:val="en-GB"/>
        </w:rPr>
        <w:t xml:space="preserve"> back</w:t>
      </w:r>
      <w:r w:rsidR="003A0357" w:rsidRPr="00050DEF">
        <w:rPr>
          <w:rFonts w:ascii="Times New Roman" w:hAnsi="Times New Roman" w:cs="Times New Roman"/>
          <w:sz w:val="24"/>
          <w:szCs w:val="24"/>
          <w:lang w:val="en-GB"/>
        </w:rPr>
        <w:t xml:space="preserve"> to the old pattern is</w:t>
      </w:r>
      <w:r w:rsidRPr="00050DEF">
        <w:rPr>
          <w:rFonts w:ascii="Times New Roman" w:hAnsi="Times New Roman" w:cs="Times New Roman"/>
          <w:sz w:val="24"/>
          <w:szCs w:val="24"/>
          <w:lang w:val="en-GB"/>
        </w:rPr>
        <w:t xml:space="preserve"> statistically significantly different from the levels in the period 2008</w:t>
      </w:r>
      <w:r w:rsidR="00B858E5"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2012</w:t>
      </w:r>
      <w:r w:rsidR="00B9085E" w:rsidRPr="00050DEF">
        <w:rPr>
          <w:rFonts w:ascii="Times New Roman" w:hAnsi="Times New Roman" w:cs="Times New Roman"/>
          <w:sz w:val="24"/>
          <w:szCs w:val="24"/>
          <w:lang w:val="en-GB"/>
        </w:rPr>
        <w:t xml:space="preserve"> (p &lt; 0.05)</w:t>
      </w:r>
      <w:r w:rsidRPr="00050DEF">
        <w:rPr>
          <w:rFonts w:ascii="Times New Roman" w:hAnsi="Times New Roman" w:cs="Times New Roman"/>
          <w:sz w:val="24"/>
          <w:szCs w:val="24"/>
          <w:lang w:val="en-GB"/>
        </w:rPr>
        <w:t xml:space="preserve">. </w:t>
      </w:r>
    </w:p>
    <w:p w14:paraId="1ED50F55" w14:textId="3DCD4D0C"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These changes in the micro-frame </w:t>
      </w:r>
      <w:r w:rsidR="00B9085E" w:rsidRPr="00050DEF">
        <w:rPr>
          <w:rFonts w:ascii="Times New Roman" w:hAnsi="Times New Roman" w:cs="Times New Roman"/>
          <w:sz w:val="24"/>
          <w:szCs w:val="24"/>
          <w:lang w:val="en-GB"/>
        </w:rPr>
        <w:t xml:space="preserve">are </w:t>
      </w:r>
      <w:r w:rsidRPr="00050DEF">
        <w:rPr>
          <w:rFonts w:ascii="Times New Roman" w:hAnsi="Times New Roman" w:cs="Times New Roman"/>
          <w:sz w:val="24"/>
          <w:szCs w:val="24"/>
          <w:lang w:val="en-GB"/>
        </w:rPr>
        <w:t>very visible if we look closer at the</w:t>
      </w:r>
      <w:r w:rsidR="00361FC9" w:rsidRPr="00050DEF">
        <w:rPr>
          <w:rFonts w:ascii="Times New Roman" w:hAnsi="Times New Roman" w:cs="Times New Roman"/>
          <w:sz w:val="24"/>
          <w:szCs w:val="24"/>
          <w:lang w:val="en-GB"/>
        </w:rPr>
        <w:t xml:space="preserve"> content of the</w:t>
      </w:r>
      <w:r w:rsidRPr="00050DEF">
        <w:rPr>
          <w:rFonts w:ascii="Times New Roman" w:hAnsi="Times New Roman" w:cs="Times New Roman"/>
          <w:sz w:val="24"/>
          <w:szCs w:val="24"/>
          <w:lang w:val="en-GB"/>
        </w:rPr>
        <w:t xml:space="preserve"> press releases issued by the </w:t>
      </w:r>
      <w:r w:rsidR="00361FC9" w:rsidRPr="00050DEF">
        <w:rPr>
          <w:rFonts w:ascii="Times New Roman" w:hAnsi="Times New Roman" w:cs="Times New Roman"/>
          <w:sz w:val="24"/>
          <w:szCs w:val="24"/>
          <w:lang w:val="en-GB"/>
        </w:rPr>
        <w:t>Danish Brewers’ Association</w:t>
      </w:r>
      <w:r w:rsidRPr="00050DEF">
        <w:rPr>
          <w:rFonts w:ascii="Times New Roman" w:hAnsi="Times New Roman" w:cs="Times New Roman"/>
          <w:sz w:val="24"/>
          <w:szCs w:val="24"/>
          <w:lang w:val="en-GB"/>
        </w:rPr>
        <w:t>. Before 2005, the press releases are very much focused on reducing VAT on beverages. The press releases refer to the illegal marke</w:t>
      </w:r>
      <w:r w:rsidR="002C6014">
        <w:rPr>
          <w:rFonts w:ascii="Times New Roman" w:hAnsi="Times New Roman" w:cs="Times New Roman"/>
          <w:sz w:val="24"/>
          <w:szCs w:val="24"/>
          <w:lang w:val="en-GB"/>
        </w:rPr>
        <w:t>t,</w:t>
      </w:r>
      <w:r w:rsidRPr="00050DEF">
        <w:rPr>
          <w:rFonts w:ascii="Times New Roman" w:hAnsi="Times New Roman" w:cs="Times New Roman"/>
          <w:sz w:val="24"/>
          <w:szCs w:val="24"/>
          <w:lang w:val="en-GB"/>
        </w:rPr>
        <w:t xml:space="preserve"> which</w:t>
      </w:r>
      <w:r w:rsidR="002C6014">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002C6014" w:rsidRPr="00050DEF">
        <w:rPr>
          <w:rFonts w:ascii="Times New Roman" w:hAnsi="Times New Roman" w:cs="Times New Roman"/>
          <w:sz w:val="24"/>
          <w:szCs w:val="24"/>
          <w:lang w:val="en-GB"/>
        </w:rPr>
        <w:t>according to the Danish Brewers’ Association</w:t>
      </w:r>
      <w:r w:rsidR="002C6014">
        <w:rPr>
          <w:rFonts w:ascii="Times New Roman" w:hAnsi="Times New Roman" w:cs="Times New Roman"/>
          <w:sz w:val="24"/>
          <w:szCs w:val="24"/>
          <w:lang w:val="en-GB"/>
        </w:rPr>
        <w:t>,</w:t>
      </w:r>
      <w:r w:rsidR="002C6014"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can only be eliminated by making legal purchases cheaper and thereby more attractive to users. Hence, several press releases simply describe the problem with the </w:t>
      </w:r>
      <w:r w:rsidRPr="00050DEF">
        <w:rPr>
          <w:rFonts w:ascii="Times New Roman" w:hAnsi="Times New Roman" w:cs="Times New Roman"/>
          <w:sz w:val="24"/>
          <w:szCs w:val="24"/>
          <w:lang w:val="en-GB"/>
        </w:rPr>
        <w:lastRenderedPageBreak/>
        <w:t>illegal marke</w:t>
      </w:r>
      <w:r w:rsidR="002C6014">
        <w:rPr>
          <w:rFonts w:ascii="Times New Roman" w:hAnsi="Times New Roman" w:cs="Times New Roman"/>
          <w:sz w:val="24"/>
          <w:szCs w:val="24"/>
          <w:lang w:val="en-GB"/>
        </w:rPr>
        <w:t>t in the following way</w:t>
      </w:r>
      <w:r w:rsidRPr="00050DEF">
        <w:rPr>
          <w:rFonts w:ascii="Times New Roman" w:hAnsi="Times New Roman" w:cs="Times New Roman"/>
          <w:sz w:val="24"/>
          <w:szCs w:val="24"/>
          <w:lang w:val="en-GB"/>
        </w:rPr>
        <w:t xml:space="preserve">: “Illegal trading with beer and soft drinks is becoming a national sport…” (October 2005). </w:t>
      </w:r>
    </w:p>
    <w:p w14:paraId="6EB9F64F" w14:textId="4FC4503F" w:rsidR="00633FCF" w:rsidRPr="00050DEF" w:rsidRDefault="00633FCF" w:rsidP="00633FCF">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In 2006, the </w:t>
      </w:r>
      <w:r w:rsidR="00680872" w:rsidRPr="00050DEF">
        <w:rPr>
          <w:rFonts w:ascii="Times New Roman" w:hAnsi="Times New Roman" w:cs="Times New Roman"/>
          <w:sz w:val="24"/>
          <w:szCs w:val="24"/>
          <w:lang w:val="en-GB"/>
        </w:rPr>
        <w:t xml:space="preserve">Danish Brewers’ Association </w:t>
      </w:r>
      <w:r w:rsidR="00180110">
        <w:rPr>
          <w:rFonts w:ascii="Times New Roman" w:hAnsi="Times New Roman" w:cs="Times New Roman"/>
          <w:sz w:val="24"/>
          <w:szCs w:val="24"/>
          <w:lang w:val="en-GB"/>
        </w:rPr>
        <w:t>begins to</w:t>
      </w:r>
      <w:r w:rsidRPr="00050DEF">
        <w:rPr>
          <w:rFonts w:ascii="Times New Roman" w:hAnsi="Times New Roman" w:cs="Times New Roman"/>
          <w:sz w:val="24"/>
          <w:szCs w:val="24"/>
          <w:lang w:val="en-GB"/>
        </w:rPr>
        <w:t xml:space="preserve"> issu</w:t>
      </w:r>
      <w:r w:rsidR="00180110">
        <w:rPr>
          <w:rFonts w:ascii="Times New Roman" w:hAnsi="Times New Roman" w:cs="Times New Roman"/>
          <w:sz w:val="24"/>
          <w:szCs w:val="24"/>
          <w:lang w:val="en-GB"/>
        </w:rPr>
        <w:t>e</w:t>
      </w:r>
      <w:r w:rsidRPr="00050DEF">
        <w:rPr>
          <w:rFonts w:ascii="Times New Roman" w:hAnsi="Times New Roman" w:cs="Times New Roman"/>
          <w:sz w:val="24"/>
          <w:szCs w:val="24"/>
          <w:lang w:val="en-GB"/>
        </w:rPr>
        <w:t xml:space="preserve"> press releases of a very different kind. The press releases are now focused narrowly on </w:t>
      </w:r>
      <w:r w:rsidR="00180110">
        <w:rPr>
          <w:rFonts w:ascii="Times New Roman" w:hAnsi="Times New Roman" w:cs="Times New Roman"/>
          <w:sz w:val="24"/>
          <w:szCs w:val="24"/>
          <w:lang w:val="en-GB"/>
        </w:rPr>
        <w:t>‘</w:t>
      </w:r>
      <w:r w:rsidRPr="00050DEF">
        <w:rPr>
          <w:rFonts w:ascii="Times New Roman" w:hAnsi="Times New Roman" w:cs="Times New Roman"/>
          <w:sz w:val="24"/>
          <w:szCs w:val="24"/>
          <w:lang w:val="en-GB"/>
        </w:rPr>
        <w:t>the limits to alcohol consumption, the unacceptable behavio</w:t>
      </w:r>
      <w:r w:rsidR="00180110">
        <w:rPr>
          <w:rFonts w:ascii="Times New Roman" w:hAnsi="Times New Roman" w:cs="Times New Roman"/>
          <w:sz w:val="24"/>
          <w:szCs w:val="24"/>
          <w:lang w:val="en-GB"/>
        </w:rPr>
        <w:t>u</w:t>
      </w:r>
      <w:r w:rsidRPr="00050DEF">
        <w:rPr>
          <w:rFonts w:ascii="Times New Roman" w:hAnsi="Times New Roman" w:cs="Times New Roman"/>
          <w:sz w:val="24"/>
          <w:szCs w:val="24"/>
          <w:lang w:val="en-GB"/>
        </w:rPr>
        <w:t xml:space="preserve">r connected to </w:t>
      </w:r>
      <w:r w:rsidR="00180110">
        <w:rPr>
          <w:rFonts w:ascii="Times New Roman" w:hAnsi="Times New Roman" w:cs="Times New Roman"/>
          <w:sz w:val="24"/>
          <w:szCs w:val="24"/>
          <w:lang w:val="en-GB"/>
        </w:rPr>
        <w:t>excessive</w:t>
      </w:r>
      <w:r w:rsidRPr="00050DEF">
        <w:rPr>
          <w:rFonts w:ascii="Times New Roman" w:hAnsi="Times New Roman" w:cs="Times New Roman"/>
          <w:sz w:val="24"/>
          <w:szCs w:val="24"/>
          <w:lang w:val="en-GB"/>
        </w:rPr>
        <w:t xml:space="preserve"> alcohol</w:t>
      </w:r>
      <w:r w:rsidR="00180110">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consumption including drink</w:t>
      </w:r>
      <w:r w:rsidR="00180110">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driving, and the need to keep a steady focus on the 15 percent of the population that drinks too much” (December 2006). In other press releases, the </w:t>
      </w:r>
      <w:r w:rsidR="00680872" w:rsidRPr="00050DEF">
        <w:rPr>
          <w:rFonts w:ascii="Times New Roman" w:hAnsi="Times New Roman" w:cs="Times New Roman"/>
          <w:sz w:val="24"/>
          <w:szCs w:val="24"/>
          <w:lang w:val="en-GB"/>
        </w:rPr>
        <w:t>Danish Brewers’ Association</w:t>
      </w:r>
      <w:r w:rsidRPr="00050DEF">
        <w:rPr>
          <w:rFonts w:ascii="Times New Roman" w:hAnsi="Times New Roman" w:cs="Times New Roman"/>
          <w:sz w:val="24"/>
          <w:szCs w:val="24"/>
          <w:lang w:val="en-GB"/>
        </w:rPr>
        <w:t xml:space="preserve"> urges consumers – particularly youngsters – to use their common sense</w:t>
      </w:r>
      <w:r w:rsidR="00595B1A">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(August 2007). </w:t>
      </w:r>
      <w:r w:rsidR="00595B1A">
        <w:rPr>
          <w:rFonts w:ascii="Times New Roman" w:hAnsi="Times New Roman" w:cs="Times New Roman"/>
          <w:sz w:val="24"/>
          <w:szCs w:val="24"/>
          <w:lang w:val="en-GB"/>
        </w:rPr>
        <w:t>T</w:t>
      </w:r>
      <w:r w:rsidRPr="00050DEF">
        <w:rPr>
          <w:rFonts w:ascii="Times New Roman" w:hAnsi="Times New Roman" w:cs="Times New Roman"/>
          <w:sz w:val="24"/>
          <w:szCs w:val="24"/>
          <w:lang w:val="en-GB"/>
        </w:rPr>
        <w:t xml:space="preserve">he CEO of </w:t>
      </w:r>
      <w:r w:rsidR="00B9085E" w:rsidRPr="00050DEF">
        <w:rPr>
          <w:rFonts w:ascii="Times New Roman" w:hAnsi="Times New Roman" w:cs="Times New Roman"/>
          <w:sz w:val="24"/>
          <w:szCs w:val="24"/>
          <w:lang w:val="en-GB"/>
        </w:rPr>
        <w:t xml:space="preserve">the </w:t>
      </w:r>
      <w:r w:rsidR="00987F79" w:rsidRPr="00050DEF">
        <w:rPr>
          <w:rFonts w:ascii="Times New Roman" w:hAnsi="Times New Roman" w:cs="Times New Roman"/>
          <w:sz w:val="24"/>
          <w:szCs w:val="24"/>
          <w:lang w:val="en-GB"/>
        </w:rPr>
        <w:t>Danish Brewers’</w:t>
      </w:r>
      <w:r w:rsidR="00B9085E" w:rsidRPr="00050DEF">
        <w:rPr>
          <w:rFonts w:ascii="Times New Roman" w:hAnsi="Times New Roman" w:cs="Times New Roman"/>
          <w:sz w:val="24"/>
          <w:szCs w:val="24"/>
          <w:lang w:val="en-GB"/>
        </w:rPr>
        <w:t xml:space="preserve"> Association</w:t>
      </w:r>
      <w:r w:rsidRPr="00050DEF">
        <w:rPr>
          <w:rFonts w:ascii="Times New Roman" w:hAnsi="Times New Roman" w:cs="Times New Roman"/>
          <w:sz w:val="24"/>
          <w:szCs w:val="24"/>
          <w:lang w:val="en-GB"/>
        </w:rPr>
        <w:t>, Niels Hald</w:t>
      </w:r>
      <w:r w:rsidR="00180110">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frequently calls for further steps to stem alcohol</w:t>
      </w:r>
      <w:r w:rsidR="00180110">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 xml:space="preserve">consumption among </w:t>
      </w:r>
      <w:r w:rsidR="00180110">
        <w:rPr>
          <w:rFonts w:ascii="Times New Roman" w:hAnsi="Times New Roman" w:cs="Times New Roman"/>
          <w:sz w:val="24"/>
          <w:szCs w:val="24"/>
          <w:lang w:val="en-GB"/>
        </w:rPr>
        <w:t>children</w:t>
      </w:r>
      <w:r w:rsidRPr="00050DEF">
        <w:rPr>
          <w:rFonts w:ascii="Times New Roman" w:hAnsi="Times New Roman" w:cs="Times New Roman"/>
          <w:sz w:val="24"/>
          <w:szCs w:val="24"/>
          <w:lang w:val="en-GB"/>
        </w:rPr>
        <w:t xml:space="preserve"> and young people.</w:t>
      </w:r>
      <w:r w:rsidR="003A0357" w:rsidRPr="00050DEF">
        <w:rPr>
          <w:rFonts w:ascii="Times New Roman" w:hAnsi="Times New Roman" w:cs="Times New Roman"/>
          <w:sz w:val="24"/>
          <w:szCs w:val="24"/>
          <w:lang w:val="en-GB"/>
        </w:rPr>
        <w:t xml:space="preserve"> </w:t>
      </w:r>
      <w:r w:rsidR="00680872" w:rsidRPr="00050DEF">
        <w:rPr>
          <w:rFonts w:ascii="Times New Roman" w:hAnsi="Times New Roman" w:cs="Times New Roman"/>
          <w:sz w:val="24"/>
          <w:szCs w:val="24"/>
          <w:lang w:val="en-GB"/>
        </w:rPr>
        <w:t>That said</w:t>
      </w:r>
      <w:r w:rsidRPr="00050DEF">
        <w:rPr>
          <w:rFonts w:ascii="Times New Roman" w:hAnsi="Times New Roman" w:cs="Times New Roman"/>
          <w:sz w:val="24"/>
          <w:szCs w:val="24"/>
          <w:lang w:val="en-GB"/>
        </w:rPr>
        <w:t xml:space="preserve">, the </w:t>
      </w:r>
      <w:r w:rsidR="00680872" w:rsidRPr="00050DEF">
        <w:rPr>
          <w:rFonts w:ascii="Times New Roman" w:hAnsi="Times New Roman" w:cs="Times New Roman"/>
          <w:sz w:val="24"/>
          <w:szCs w:val="24"/>
          <w:lang w:val="en-GB"/>
        </w:rPr>
        <w:t xml:space="preserve">Danish Brewers’ Association </w:t>
      </w:r>
      <w:r w:rsidRPr="00050DEF">
        <w:rPr>
          <w:rFonts w:ascii="Times New Roman" w:hAnsi="Times New Roman" w:cs="Times New Roman"/>
          <w:sz w:val="24"/>
          <w:szCs w:val="24"/>
          <w:lang w:val="en-GB"/>
        </w:rPr>
        <w:t>repeatedly leave</w:t>
      </w:r>
      <w:r w:rsidR="00A01CB3"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it to the parents </w:t>
      </w:r>
      <w:r w:rsidR="00916AA8">
        <w:rPr>
          <w:rFonts w:ascii="Times New Roman" w:hAnsi="Times New Roman" w:cs="Times New Roman"/>
          <w:sz w:val="24"/>
          <w:szCs w:val="24"/>
          <w:lang w:val="en-GB"/>
        </w:rPr>
        <w:t xml:space="preserve">(rather than the beer producers) </w:t>
      </w:r>
      <w:r w:rsidRPr="00050DEF">
        <w:rPr>
          <w:rFonts w:ascii="Times New Roman" w:hAnsi="Times New Roman" w:cs="Times New Roman"/>
          <w:sz w:val="24"/>
          <w:szCs w:val="24"/>
          <w:lang w:val="en-GB"/>
        </w:rPr>
        <w:t xml:space="preserve">to take on the responsibility for their kids’ alcohol habits. </w:t>
      </w:r>
    </w:p>
    <w:p w14:paraId="6F2B2B02" w14:textId="77777777" w:rsidR="00633FCF" w:rsidRPr="00050DEF" w:rsidRDefault="00633FCF" w:rsidP="00633FCF">
      <w:pPr>
        <w:spacing w:after="0" w:line="480" w:lineRule="auto"/>
        <w:rPr>
          <w:rFonts w:ascii="Times New Roman" w:hAnsi="Times New Roman" w:cs="Times New Roman"/>
          <w:sz w:val="24"/>
          <w:szCs w:val="24"/>
          <w:lang w:val="en-GB"/>
        </w:rPr>
      </w:pPr>
    </w:p>
    <w:p w14:paraId="661DE4BC" w14:textId="77777777" w:rsidR="00633FCF" w:rsidRPr="00050DEF" w:rsidRDefault="00633FCF" w:rsidP="00633FCF">
      <w:pPr>
        <w:spacing w:after="0" w:line="480" w:lineRule="auto"/>
        <w:rPr>
          <w:rFonts w:ascii="Times New Roman" w:hAnsi="Times New Roman" w:cs="Times New Roman"/>
          <w:i/>
          <w:sz w:val="24"/>
          <w:szCs w:val="24"/>
          <w:lang w:val="en-GB"/>
        </w:rPr>
      </w:pPr>
      <w:r w:rsidRPr="00050DEF">
        <w:rPr>
          <w:rFonts w:ascii="Times New Roman" w:hAnsi="Times New Roman" w:cs="Times New Roman"/>
          <w:i/>
          <w:sz w:val="24"/>
          <w:szCs w:val="24"/>
          <w:lang w:val="en-GB"/>
        </w:rPr>
        <w:t>Micro-frame: A two-pronged and two-staged strategy</w:t>
      </w:r>
    </w:p>
    <w:p w14:paraId="23DCE7A0" w14:textId="689F82E9" w:rsidR="00633FCF" w:rsidRPr="00050DEF" w:rsidRDefault="007F6603"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The</w:t>
      </w:r>
      <w:r w:rsidR="00633FCF" w:rsidRPr="00050DEF">
        <w:rPr>
          <w:rFonts w:ascii="Times New Roman" w:hAnsi="Times New Roman" w:cs="Times New Roman"/>
          <w:sz w:val="24"/>
          <w:szCs w:val="24"/>
          <w:lang w:val="en-GB"/>
        </w:rPr>
        <w:t xml:space="preserve"> framing strategy employed by the </w:t>
      </w:r>
      <w:r w:rsidR="00911849" w:rsidRPr="00050DEF">
        <w:rPr>
          <w:rFonts w:ascii="Times New Roman" w:hAnsi="Times New Roman" w:cs="Times New Roman"/>
          <w:sz w:val="24"/>
          <w:szCs w:val="24"/>
          <w:lang w:val="en-GB"/>
        </w:rPr>
        <w:t xml:space="preserve">Danish Brewers’ Association </w:t>
      </w:r>
      <w:r w:rsidR="00633FCF" w:rsidRPr="00050DEF">
        <w:rPr>
          <w:rFonts w:ascii="Times New Roman" w:hAnsi="Times New Roman" w:cs="Times New Roman"/>
          <w:sz w:val="24"/>
          <w:szCs w:val="24"/>
          <w:lang w:val="en-GB"/>
        </w:rPr>
        <w:t>is two-pr</w:t>
      </w:r>
      <w:r w:rsidR="00911849" w:rsidRPr="00050DEF">
        <w:rPr>
          <w:rFonts w:ascii="Times New Roman" w:hAnsi="Times New Roman" w:cs="Times New Roman"/>
          <w:sz w:val="24"/>
          <w:szCs w:val="24"/>
          <w:lang w:val="en-GB"/>
        </w:rPr>
        <w:t>onged and two-staged. It is two-</w:t>
      </w:r>
      <w:r w:rsidR="00633FCF" w:rsidRPr="00050DEF">
        <w:rPr>
          <w:rFonts w:ascii="Times New Roman" w:hAnsi="Times New Roman" w:cs="Times New Roman"/>
          <w:sz w:val="24"/>
          <w:szCs w:val="24"/>
          <w:lang w:val="en-GB"/>
        </w:rPr>
        <w:t xml:space="preserve">pronged in the sense that the </w:t>
      </w:r>
      <w:r w:rsidR="00911849" w:rsidRPr="00050DEF">
        <w:rPr>
          <w:rFonts w:ascii="Times New Roman" w:hAnsi="Times New Roman" w:cs="Times New Roman"/>
          <w:sz w:val="24"/>
          <w:szCs w:val="24"/>
          <w:lang w:val="en-GB"/>
        </w:rPr>
        <w:t xml:space="preserve">Danish Brewers’ Association </w:t>
      </w:r>
      <w:r w:rsidR="00633FCF" w:rsidRPr="00050DEF">
        <w:rPr>
          <w:rFonts w:ascii="Times New Roman" w:hAnsi="Times New Roman" w:cs="Times New Roman"/>
          <w:sz w:val="24"/>
          <w:szCs w:val="24"/>
          <w:lang w:val="en-GB"/>
        </w:rPr>
        <w:t>at the same time retreats on the issue</w:t>
      </w:r>
      <w:r w:rsidR="007F2FDB"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usi</w:t>
      </w:r>
      <w:r w:rsidR="000419E8" w:rsidRPr="00050DEF">
        <w:rPr>
          <w:rFonts w:ascii="Times New Roman" w:hAnsi="Times New Roman" w:cs="Times New Roman"/>
          <w:sz w:val="24"/>
          <w:szCs w:val="24"/>
          <w:lang w:val="en-GB"/>
        </w:rPr>
        <w:t>ng a partial exi</w:t>
      </w:r>
      <w:r w:rsidR="007F2FDB" w:rsidRPr="00050DEF">
        <w:rPr>
          <w:rFonts w:ascii="Times New Roman" w:hAnsi="Times New Roman" w:cs="Times New Roman"/>
          <w:sz w:val="24"/>
          <w:szCs w:val="24"/>
          <w:lang w:val="en-GB"/>
        </w:rPr>
        <w:t xml:space="preserve">t strategy, and employs </w:t>
      </w:r>
      <w:r w:rsidR="00633FCF" w:rsidRPr="00050DEF">
        <w:rPr>
          <w:rFonts w:ascii="Times New Roman" w:hAnsi="Times New Roman" w:cs="Times New Roman"/>
          <w:sz w:val="24"/>
          <w:szCs w:val="24"/>
          <w:lang w:val="en-GB"/>
        </w:rPr>
        <w:t>an acceptance strategy</w:t>
      </w:r>
      <w:r w:rsidR="007F2FDB" w:rsidRPr="00050DE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w:t>
      </w:r>
      <w:r w:rsidR="007F2FDB" w:rsidRPr="00050DEF">
        <w:rPr>
          <w:rFonts w:ascii="Times New Roman" w:hAnsi="Times New Roman" w:cs="Times New Roman"/>
          <w:sz w:val="24"/>
          <w:szCs w:val="24"/>
          <w:lang w:val="en-GB"/>
        </w:rPr>
        <w:t>embracing</w:t>
      </w:r>
      <w:r w:rsidR="00633FCF" w:rsidRPr="00050DEF">
        <w:rPr>
          <w:rFonts w:ascii="Times New Roman" w:hAnsi="Times New Roman" w:cs="Times New Roman"/>
          <w:sz w:val="24"/>
          <w:szCs w:val="24"/>
          <w:lang w:val="en-GB"/>
        </w:rPr>
        <w:t xml:space="preserve"> the </w:t>
      </w:r>
      <w:r w:rsidR="007F2FDB" w:rsidRPr="00050DEF">
        <w:rPr>
          <w:rFonts w:ascii="Times New Roman" w:hAnsi="Times New Roman" w:cs="Times New Roman"/>
          <w:sz w:val="24"/>
          <w:szCs w:val="24"/>
          <w:lang w:val="en-GB"/>
        </w:rPr>
        <w:t xml:space="preserve">danger </w:t>
      </w:r>
      <w:r w:rsidR="00633FCF" w:rsidRPr="00050DEF">
        <w:rPr>
          <w:rFonts w:ascii="Times New Roman" w:hAnsi="Times New Roman" w:cs="Times New Roman"/>
          <w:sz w:val="24"/>
          <w:szCs w:val="24"/>
          <w:lang w:val="en-GB"/>
        </w:rPr>
        <w:t xml:space="preserve">frame. It is two-staged in the sense that the </w:t>
      </w:r>
      <w:r w:rsidR="00911849" w:rsidRPr="00050DEF">
        <w:rPr>
          <w:rFonts w:ascii="Times New Roman" w:hAnsi="Times New Roman" w:cs="Times New Roman"/>
          <w:sz w:val="24"/>
          <w:szCs w:val="24"/>
          <w:lang w:val="en-GB"/>
        </w:rPr>
        <w:t xml:space="preserve">Danish Brewers’ Association </w:t>
      </w:r>
      <w:r w:rsidR="00633FCF" w:rsidRPr="00050DEF">
        <w:rPr>
          <w:rFonts w:ascii="Times New Roman" w:hAnsi="Times New Roman" w:cs="Times New Roman"/>
          <w:sz w:val="24"/>
          <w:szCs w:val="24"/>
          <w:lang w:val="en-GB"/>
        </w:rPr>
        <w:t>first acts as a frame</w:t>
      </w:r>
      <w:r w:rsidR="00636C9C">
        <w:rPr>
          <w:rFonts w:ascii="Times New Roman" w:hAnsi="Times New Roman" w:cs="Times New Roman"/>
          <w:sz w:val="24"/>
          <w:szCs w:val="24"/>
          <w:lang w:val="en-GB"/>
        </w:rPr>
        <w:t xml:space="preserve"> </w:t>
      </w:r>
      <w:r w:rsidR="00633FCF" w:rsidRPr="00050DEF">
        <w:rPr>
          <w:rFonts w:ascii="Times New Roman" w:hAnsi="Times New Roman" w:cs="Times New Roman"/>
          <w:sz w:val="24"/>
          <w:szCs w:val="24"/>
          <w:lang w:val="en-GB"/>
        </w:rPr>
        <w:t>taker by closely trailing the macro-frame</w:t>
      </w:r>
      <w:r w:rsidR="00636C9C">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even when it dramatically turns against its </w:t>
      </w:r>
      <w:r w:rsidR="007F2FDB" w:rsidRPr="00050DEF">
        <w:rPr>
          <w:rFonts w:ascii="Times New Roman" w:hAnsi="Times New Roman" w:cs="Times New Roman"/>
          <w:sz w:val="24"/>
          <w:szCs w:val="24"/>
          <w:lang w:val="en-GB"/>
        </w:rPr>
        <w:t>long-term interests. However, after a while</w:t>
      </w:r>
      <w:r w:rsidR="00636C9C">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the interest group </w:t>
      </w:r>
      <w:r w:rsidR="007F2FDB" w:rsidRPr="00050DEF">
        <w:rPr>
          <w:rFonts w:ascii="Times New Roman" w:hAnsi="Times New Roman" w:cs="Times New Roman"/>
          <w:sz w:val="24"/>
          <w:szCs w:val="24"/>
          <w:lang w:val="en-GB"/>
        </w:rPr>
        <w:t xml:space="preserve">gradually </w:t>
      </w:r>
      <w:r w:rsidR="00633FCF" w:rsidRPr="00050DEF">
        <w:rPr>
          <w:rFonts w:ascii="Times New Roman" w:hAnsi="Times New Roman" w:cs="Times New Roman"/>
          <w:sz w:val="24"/>
          <w:szCs w:val="24"/>
          <w:lang w:val="en-GB"/>
        </w:rPr>
        <w:t xml:space="preserve">returns to its </w:t>
      </w:r>
      <w:r w:rsidR="007F2FDB" w:rsidRPr="00050DEF">
        <w:rPr>
          <w:rFonts w:ascii="Times New Roman" w:hAnsi="Times New Roman" w:cs="Times New Roman"/>
          <w:sz w:val="24"/>
          <w:szCs w:val="24"/>
          <w:lang w:val="en-GB"/>
        </w:rPr>
        <w:t>preferred</w:t>
      </w:r>
      <w:r w:rsidR="00633FCF" w:rsidRPr="00050DEF">
        <w:rPr>
          <w:rFonts w:ascii="Times New Roman" w:hAnsi="Times New Roman" w:cs="Times New Roman"/>
          <w:sz w:val="24"/>
          <w:szCs w:val="24"/>
          <w:lang w:val="en-GB"/>
        </w:rPr>
        <w:t xml:space="preserve"> </w:t>
      </w:r>
      <w:r w:rsidR="007F2FDB" w:rsidRPr="00050DEF">
        <w:rPr>
          <w:rFonts w:ascii="Times New Roman" w:hAnsi="Times New Roman" w:cs="Times New Roman"/>
          <w:sz w:val="24"/>
          <w:szCs w:val="24"/>
          <w:lang w:val="en-GB"/>
        </w:rPr>
        <w:t>business</w:t>
      </w:r>
      <w:r w:rsidR="00633FCF" w:rsidRPr="00050DEF">
        <w:rPr>
          <w:rFonts w:ascii="Times New Roman" w:hAnsi="Times New Roman" w:cs="Times New Roman"/>
          <w:sz w:val="24"/>
          <w:szCs w:val="24"/>
          <w:lang w:val="en-GB"/>
        </w:rPr>
        <w:t xml:space="preserve"> </w:t>
      </w:r>
      <w:r w:rsidR="007F2FDB" w:rsidRPr="00050DEF">
        <w:rPr>
          <w:rFonts w:ascii="Times New Roman" w:hAnsi="Times New Roman" w:cs="Times New Roman"/>
          <w:sz w:val="24"/>
          <w:szCs w:val="24"/>
          <w:lang w:val="en-GB"/>
        </w:rPr>
        <w:t>frame, essentially reverting to the role of (aspirational) frame</w:t>
      </w:r>
      <w:r w:rsidR="00636C9C">
        <w:rPr>
          <w:rFonts w:ascii="Times New Roman" w:hAnsi="Times New Roman" w:cs="Times New Roman"/>
          <w:sz w:val="24"/>
          <w:szCs w:val="24"/>
          <w:lang w:val="en-GB"/>
        </w:rPr>
        <w:t xml:space="preserve"> </w:t>
      </w:r>
      <w:r w:rsidR="007F2FDB" w:rsidRPr="00050DEF">
        <w:rPr>
          <w:rFonts w:ascii="Times New Roman" w:hAnsi="Times New Roman" w:cs="Times New Roman"/>
          <w:sz w:val="24"/>
          <w:szCs w:val="24"/>
          <w:lang w:val="en-GB"/>
        </w:rPr>
        <w:t>giver</w:t>
      </w:r>
      <w:r w:rsidR="009C6224" w:rsidRPr="00050DEF">
        <w:rPr>
          <w:rFonts w:ascii="Times New Roman" w:hAnsi="Times New Roman" w:cs="Times New Roman"/>
          <w:sz w:val="24"/>
          <w:szCs w:val="24"/>
          <w:lang w:val="en-GB"/>
        </w:rPr>
        <w:t xml:space="preserve">, although the overall </w:t>
      </w:r>
      <w:r w:rsidR="008E3C21" w:rsidRPr="00050DEF">
        <w:rPr>
          <w:rFonts w:ascii="Times New Roman" w:hAnsi="Times New Roman" w:cs="Times New Roman"/>
          <w:sz w:val="24"/>
          <w:szCs w:val="24"/>
          <w:lang w:val="en-GB"/>
        </w:rPr>
        <w:t xml:space="preserve">activity </w:t>
      </w:r>
      <w:r w:rsidR="009C6224" w:rsidRPr="00050DEF">
        <w:rPr>
          <w:rFonts w:ascii="Times New Roman" w:hAnsi="Times New Roman" w:cs="Times New Roman"/>
          <w:sz w:val="24"/>
          <w:szCs w:val="24"/>
          <w:lang w:val="en-GB"/>
        </w:rPr>
        <w:t>level remains depressed</w:t>
      </w:r>
      <w:r w:rsidR="00633FCF" w:rsidRPr="00050DEF">
        <w:rPr>
          <w:rFonts w:ascii="Times New Roman" w:hAnsi="Times New Roman" w:cs="Times New Roman"/>
          <w:sz w:val="24"/>
          <w:szCs w:val="24"/>
          <w:lang w:val="en-GB"/>
        </w:rPr>
        <w:t xml:space="preserve">. </w:t>
      </w:r>
    </w:p>
    <w:p w14:paraId="6CAEAB1B" w14:textId="7E886A80" w:rsidR="00633FCF" w:rsidRPr="00050DEF" w:rsidRDefault="00A01CB3" w:rsidP="00F96430">
      <w:pPr>
        <w:spacing w:after="0" w:line="480" w:lineRule="auto"/>
        <w:ind w:firstLine="567"/>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This two-pronged and two-staged strategy </w:t>
      </w:r>
      <w:r w:rsidR="008E3C21" w:rsidRPr="00050DEF">
        <w:rPr>
          <w:rFonts w:ascii="Times New Roman" w:hAnsi="Times New Roman" w:cs="Times New Roman"/>
          <w:sz w:val="24"/>
          <w:szCs w:val="24"/>
          <w:lang w:val="en-GB"/>
        </w:rPr>
        <w:t xml:space="preserve">corresponds to </w:t>
      </w:r>
      <w:r w:rsidRPr="00050DEF">
        <w:rPr>
          <w:rFonts w:ascii="Times New Roman" w:hAnsi="Times New Roman" w:cs="Times New Roman"/>
          <w:sz w:val="24"/>
          <w:szCs w:val="24"/>
          <w:lang w:val="en-GB"/>
        </w:rPr>
        <w:t>ou</w:t>
      </w:r>
      <w:r w:rsidR="00374190" w:rsidRPr="00050DEF">
        <w:rPr>
          <w:rFonts w:ascii="Times New Roman" w:hAnsi="Times New Roman" w:cs="Times New Roman"/>
          <w:sz w:val="24"/>
          <w:szCs w:val="24"/>
          <w:lang w:val="en-GB"/>
        </w:rPr>
        <w:t>r</w:t>
      </w:r>
      <w:r w:rsidRPr="00050DEF">
        <w:rPr>
          <w:rFonts w:ascii="Times New Roman" w:hAnsi="Times New Roman" w:cs="Times New Roman"/>
          <w:sz w:val="24"/>
          <w:szCs w:val="24"/>
          <w:lang w:val="en-GB"/>
        </w:rPr>
        <w:t xml:space="preserve"> theoretical framework based on the basic interest</w:t>
      </w:r>
      <w:r w:rsidR="00374190" w:rsidRPr="00050DEF">
        <w:rPr>
          <w:rFonts w:ascii="Times New Roman" w:hAnsi="Times New Roman" w:cs="Times New Roman"/>
          <w:sz w:val="24"/>
          <w:szCs w:val="24"/>
          <w:lang w:val="en-GB"/>
        </w:rPr>
        <w:t>s</w:t>
      </w:r>
      <w:r w:rsidRPr="00050DEF">
        <w:rPr>
          <w:rFonts w:ascii="Times New Roman" w:hAnsi="Times New Roman" w:cs="Times New Roman"/>
          <w:sz w:val="24"/>
          <w:szCs w:val="24"/>
          <w:lang w:val="en-GB"/>
        </w:rPr>
        <w:t xml:space="preserve"> of interest groups, namely to (1) influence policy, (2) uphold a public image, and (3) cater to </w:t>
      </w:r>
      <w:r w:rsidR="00374190" w:rsidRPr="00050DEF">
        <w:rPr>
          <w:rFonts w:ascii="Times New Roman" w:hAnsi="Times New Roman" w:cs="Times New Roman"/>
          <w:sz w:val="24"/>
          <w:szCs w:val="24"/>
          <w:lang w:val="en-GB"/>
        </w:rPr>
        <w:t>the</w:t>
      </w:r>
      <w:r w:rsidRPr="00050DEF">
        <w:rPr>
          <w:rFonts w:ascii="Times New Roman" w:hAnsi="Times New Roman" w:cs="Times New Roman"/>
          <w:sz w:val="24"/>
          <w:szCs w:val="24"/>
          <w:lang w:val="en-GB"/>
        </w:rPr>
        <w:t xml:space="preserve"> members</w:t>
      </w:r>
      <w:r w:rsidR="00B40AB9" w:rsidRPr="00050DEF">
        <w:rPr>
          <w:rFonts w:ascii="Times New Roman" w:hAnsi="Times New Roman" w:cs="Times New Roman"/>
          <w:sz w:val="24"/>
          <w:szCs w:val="24"/>
          <w:lang w:val="en-GB"/>
        </w:rPr>
        <w:t xml:space="preserve"> (Berkhout 2013)</w:t>
      </w:r>
      <w:r w:rsidRPr="00050DEF">
        <w:rPr>
          <w:rFonts w:ascii="Times New Roman" w:hAnsi="Times New Roman" w:cs="Times New Roman"/>
          <w:sz w:val="24"/>
          <w:szCs w:val="24"/>
          <w:lang w:val="en-GB"/>
        </w:rPr>
        <w:t xml:space="preserve">. </w:t>
      </w:r>
      <w:r w:rsidR="00633FCF" w:rsidRPr="00050DEF">
        <w:rPr>
          <w:rFonts w:ascii="Times New Roman" w:hAnsi="Times New Roman" w:cs="Times New Roman"/>
          <w:sz w:val="24"/>
          <w:szCs w:val="24"/>
          <w:lang w:val="en-GB"/>
        </w:rPr>
        <w:t xml:space="preserve">With such </w:t>
      </w:r>
      <w:r w:rsidR="001576BF">
        <w:rPr>
          <w:rFonts w:ascii="Times New Roman" w:hAnsi="Times New Roman" w:cs="Times New Roman"/>
          <w:sz w:val="24"/>
          <w:szCs w:val="24"/>
          <w:lang w:val="en-GB"/>
        </w:rPr>
        <w:t xml:space="preserve">a </w:t>
      </w:r>
      <w:r w:rsidR="00633FCF" w:rsidRPr="00050DEF">
        <w:rPr>
          <w:rFonts w:ascii="Times New Roman" w:hAnsi="Times New Roman" w:cs="Times New Roman"/>
          <w:sz w:val="24"/>
          <w:szCs w:val="24"/>
          <w:lang w:val="en-GB"/>
        </w:rPr>
        <w:t>severe and abrupt change in the macro-frame, it is</w:t>
      </w:r>
      <w:r w:rsidR="001576B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w:t>
      </w:r>
      <w:r w:rsidR="00633FCF" w:rsidRPr="00050DEF">
        <w:rPr>
          <w:rFonts w:ascii="Times New Roman" w:hAnsi="Times New Roman" w:cs="Times New Roman"/>
          <w:sz w:val="24"/>
          <w:szCs w:val="24"/>
          <w:lang w:val="en-GB"/>
        </w:rPr>
        <w:lastRenderedPageBreak/>
        <w:t>on the one hand</w:t>
      </w:r>
      <w:r w:rsidR="001576BF">
        <w:rPr>
          <w:rFonts w:ascii="Times New Roman" w:hAnsi="Times New Roman" w:cs="Times New Roman"/>
          <w:sz w:val="24"/>
          <w:szCs w:val="24"/>
          <w:lang w:val="en-GB"/>
        </w:rPr>
        <w:t>,</w:t>
      </w:r>
      <w:r w:rsidR="00633FCF" w:rsidRPr="00050DEF">
        <w:rPr>
          <w:rFonts w:ascii="Times New Roman" w:hAnsi="Times New Roman" w:cs="Times New Roman"/>
          <w:sz w:val="24"/>
          <w:szCs w:val="24"/>
          <w:lang w:val="en-GB"/>
        </w:rPr>
        <w:t xml:space="preserve"> no surprise that the </w:t>
      </w:r>
      <w:r w:rsidR="00911849" w:rsidRPr="00050DEF">
        <w:rPr>
          <w:rFonts w:ascii="Times New Roman" w:hAnsi="Times New Roman" w:cs="Times New Roman"/>
          <w:sz w:val="24"/>
          <w:szCs w:val="24"/>
          <w:lang w:val="en-GB"/>
        </w:rPr>
        <w:t xml:space="preserve">Danish Brewers’ Association </w:t>
      </w:r>
      <w:r w:rsidR="00633FCF" w:rsidRPr="00050DEF">
        <w:rPr>
          <w:rFonts w:ascii="Times New Roman" w:hAnsi="Times New Roman" w:cs="Times New Roman"/>
          <w:sz w:val="24"/>
          <w:szCs w:val="24"/>
          <w:lang w:val="en-GB"/>
        </w:rPr>
        <w:t xml:space="preserve">is unprepared to maintain its solid presence in the media and wholeheartedly embrace the new hostile </w:t>
      </w:r>
      <w:r w:rsidR="007946F5" w:rsidRPr="00050DEF">
        <w:rPr>
          <w:rFonts w:ascii="Times New Roman" w:hAnsi="Times New Roman" w:cs="Times New Roman"/>
          <w:sz w:val="24"/>
          <w:szCs w:val="24"/>
          <w:lang w:val="en-GB"/>
        </w:rPr>
        <w:t>danger</w:t>
      </w:r>
      <w:r w:rsidR="00633FCF" w:rsidRPr="00050DEF">
        <w:rPr>
          <w:rFonts w:ascii="Times New Roman" w:hAnsi="Times New Roman" w:cs="Times New Roman"/>
          <w:sz w:val="24"/>
          <w:szCs w:val="24"/>
          <w:lang w:val="en-GB"/>
        </w:rPr>
        <w:t xml:space="preserve"> frame. Based on the presumption that the dominance of the </w:t>
      </w:r>
      <w:r w:rsidR="0028736A" w:rsidRPr="00050DEF">
        <w:rPr>
          <w:rFonts w:ascii="Times New Roman" w:hAnsi="Times New Roman" w:cs="Times New Roman"/>
          <w:sz w:val="24"/>
          <w:szCs w:val="24"/>
          <w:lang w:val="en-GB"/>
        </w:rPr>
        <w:t>danger</w:t>
      </w:r>
      <w:r w:rsidR="00633FCF" w:rsidRPr="00050DEF">
        <w:rPr>
          <w:rFonts w:ascii="Times New Roman" w:hAnsi="Times New Roman" w:cs="Times New Roman"/>
          <w:sz w:val="24"/>
          <w:szCs w:val="24"/>
          <w:lang w:val="en-GB"/>
        </w:rPr>
        <w:t xml:space="preserve"> frame jeopardi</w:t>
      </w:r>
      <w:r w:rsidR="001576B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es future sales revenue</w:t>
      </w:r>
      <w:r w:rsidR="001576BF">
        <w:rPr>
          <w:rFonts w:ascii="Times New Roman" w:hAnsi="Times New Roman" w:cs="Times New Roman"/>
          <w:sz w:val="24"/>
          <w:szCs w:val="24"/>
          <w:lang w:val="en-GB"/>
        </w:rPr>
        <w:t>s</w:t>
      </w:r>
      <w:r w:rsidR="00633FCF" w:rsidRPr="00050DEF">
        <w:rPr>
          <w:rFonts w:ascii="Times New Roman" w:hAnsi="Times New Roman" w:cs="Times New Roman"/>
          <w:sz w:val="24"/>
          <w:szCs w:val="24"/>
          <w:lang w:val="en-GB"/>
        </w:rPr>
        <w:t xml:space="preserve">, further pushing this frame </w:t>
      </w:r>
      <w:r w:rsidR="0028736A" w:rsidRPr="00050DEF">
        <w:rPr>
          <w:rFonts w:ascii="Times New Roman" w:hAnsi="Times New Roman" w:cs="Times New Roman"/>
          <w:sz w:val="24"/>
          <w:szCs w:val="24"/>
          <w:lang w:val="en-GB"/>
        </w:rPr>
        <w:t xml:space="preserve">militates </w:t>
      </w:r>
      <w:r w:rsidR="00633FCF" w:rsidRPr="00050DEF">
        <w:rPr>
          <w:rFonts w:ascii="Times New Roman" w:hAnsi="Times New Roman" w:cs="Times New Roman"/>
          <w:sz w:val="24"/>
          <w:szCs w:val="24"/>
          <w:lang w:val="en-GB"/>
        </w:rPr>
        <w:t>against it</w:t>
      </w:r>
      <w:r w:rsidR="0028736A" w:rsidRPr="00050DEF">
        <w:rPr>
          <w:rFonts w:ascii="Times New Roman" w:hAnsi="Times New Roman" w:cs="Times New Roman"/>
          <w:sz w:val="24"/>
          <w:szCs w:val="24"/>
          <w:lang w:val="en-GB"/>
        </w:rPr>
        <w:t>s long-term interests.</w:t>
      </w:r>
      <w:r w:rsidR="00F96430" w:rsidRPr="00050DEF">
        <w:rPr>
          <w:rFonts w:ascii="Times New Roman" w:hAnsi="Times New Roman" w:cs="Times New Roman"/>
          <w:sz w:val="24"/>
          <w:szCs w:val="24"/>
          <w:lang w:val="en-GB"/>
        </w:rPr>
        <w:t xml:space="preserve"> This means that, on the one hand, staying quiet appear</w:t>
      </w:r>
      <w:r w:rsidR="00B9085E" w:rsidRPr="00050DEF">
        <w:rPr>
          <w:rFonts w:ascii="Times New Roman" w:hAnsi="Times New Roman" w:cs="Times New Roman"/>
          <w:sz w:val="24"/>
          <w:szCs w:val="24"/>
          <w:lang w:val="en-GB"/>
        </w:rPr>
        <w:t>s</w:t>
      </w:r>
      <w:r w:rsidR="00F96430" w:rsidRPr="00050DEF">
        <w:rPr>
          <w:rFonts w:ascii="Times New Roman" w:hAnsi="Times New Roman" w:cs="Times New Roman"/>
          <w:sz w:val="24"/>
          <w:szCs w:val="24"/>
          <w:lang w:val="en-GB"/>
        </w:rPr>
        <w:t xml:space="preserve"> reasonable. </w:t>
      </w:r>
      <w:r w:rsidRPr="00050DEF">
        <w:rPr>
          <w:rFonts w:ascii="Times New Roman" w:hAnsi="Times New Roman" w:cs="Times New Roman"/>
          <w:sz w:val="24"/>
          <w:szCs w:val="24"/>
          <w:lang w:val="en-GB"/>
        </w:rPr>
        <w:t xml:space="preserve">Moreover, it resonates with the idea that the </w:t>
      </w:r>
      <w:r w:rsidR="00B40AB9" w:rsidRPr="00050DEF">
        <w:rPr>
          <w:rFonts w:ascii="Times New Roman" w:hAnsi="Times New Roman" w:cs="Times New Roman"/>
          <w:sz w:val="24"/>
          <w:szCs w:val="24"/>
          <w:lang w:val="en-GB"/>
        </w:rPr>
        <w:t xml:space="preserve">Brewers’ Association </w:t>
      </w:r>
      <w:r w:rsidRPr="00050DEF">
        <w:rPr>
          <w:rFonts w:ascii="Times New Roman" w:hAnsi="Times New Roman" w:cs="Times New Roman"/>
          <w:sz w:val="24"/>
          <w:szCs w:val="24"/>
          <w:lang w:val="en-GB"/>
        </w:rPr>
        <w:t xml:space="preserve">puts the risk of </w:t>
      </w:r>
      <w:r w:rsidR="001576BF">
        <w:rPr>
          <w:rFonts w:ascii="Times New Roman" w:hAnsi="Times New Roman" w:cs="Times New Roman"/>
          <w:sz w:val="24"/>
          <w:szCs w:val="24"/>
          <w:lang w:val="en-GB"/>
        </w:rPr>
        <w:t xml:space="preserve">a </w:t>
      </w:r>
      <w:r w:rsidRPr="00050DEF">
        <w:rPr>
          <w:rFonts w:ascii="Times New Roman" w:hAnsi="Times New Roman" w:cs="Times New Roman"/>
          <w:sz w:val="24"/>
          <w:szCs w:val="24"/>
          <w:lang w:val="en-GB"/>
        </w:rPr>
        <w:t xml:space="preserve">permanently stricter policy first and allocates most </w:t>
      </w:r>
      <w:r w:rsidR="00374190" w:rsidRPr="00050DEF">
        <w:rPr>
          <w:rFonts w:ascii="Times New Roman" w:hAnsi="Times New Roman" w:cs="Times New Roman"/>
          <w:sz w:val="24"/>
          <w:szCs w:val="24"/>
          <w:lang w:val="en-GB"/>
        </w:rPr>
        <w:t>o</w:t>
      </w:r>
      <w:r w:rsidRPr="00050DEF">
        <w:rPr>
          <w:rFonts w:ascii="Times New Roman" w:hAnsi="Times New Roman" w:cs="Times New Roman"/>
          <w:sz w:val="24"/>
          <w:szCs w:val="24"/>
          <w:lang w:val="en-GB"/>
        </w:rPr>
        <w:t xml:space="preserve">f its resources to avoid this. </w:t>
      </w:r>
      <w:r w:rsidR="00F96430" w:rsidRPr="00050DEF">
        <w:rPr>
          <w:rFonts w:ascii="Times New Roman" w:hAnsi="Times New Roman" w:cs="Times New Roman"/>
          <w:sz w:val="24"/>
          <w:szCs w:val="24"/>
          <w:lang w:val="en-GB"/>
        </w:rPr>
        <w:t>Yet</w:t>
      </w:r>
      <w:r w:rsidR="008E3C21" w:rsidRPr="00050DEF">
        <w:rPr>
          <w:rFonts w:ascii="Times New Roman" w:hAnsi="Times New Roman" w:cs="Times New Roman"/>
          <w:sz w:val="24"/>
          <w:szCs w:val="24"/>
          <w:lang w:val="en-GB"/>
        </w:rPr>
        <w:t>,</w:t>
      </w:r>
      <w:r w:rsidR="00F96430" w:rsidRPr="00050DEF">
        <w:rPr>
          <w:rFonts w:ascii="Times New Roman" w:hAnsi="Times New Roman" w:cs="Times New Roman"/>
          <w:sz w:val="24"/>
          <w:szCs w:val="24"/>
          <w:lang w:val="en-GB"/>
        </w:rPr>
        <w:t xml:space="preserve"> on the other</w:t>
      </w:r>
      <w:r w:rsidR="00B9085E" w:rsidRPr="00050DEF">
        <w:rPr>
          <w:rFonts w:ascii="Times New Roman" w:hAnsi="Times New Roman" w:cs="Times New Roman"/>
          <w:sz w:val="24"/>
          <w:szCs w:val="24"/>
          <w:lang w:val="en-GB"/>
        </w:rPr>
        <w:t xml:space="preserve"> hand</w:t>
      </w:r>
      <w:r w:rsidR="00F96430" w:rsidRPr="00050DEF">
        <w:rPr>
          <w:rFonts w:ascii="Times New Roman" w:hAnsi="Times New Roman" w:cs="Times New Roman"/>
          <w:sz w:val="24"/>
          <w:szCs w:val="24"/>
          <w:lang w:val="en-GB"/>
        </w:rPr>
        <w:t>, the Brewers’ Association as a minimum had to show to policy-makers and the public that it shares the concerns being raise</w:t>
      </w:r>
      <w:r w:rsidR="001576BF">
        <w:rPr>
          <w:rFonts w:ascii="Times New Roman" w:hAnsi="Times New Roman" w:cs="Times New Roman"/>
          <w:sz w:val="24"/>
          <w:szCs w:val="24"/>
          <w:lang w:val="en-GB"/>
        </w:rPr>
        <w:t>d</w:t>
      </w:r>
      <w:r w:rsidR="00F96430" w:rsidRPr="00050DEF">
        <w:rPr>
          <w:rFonts w:ascii="Times New Roman" w:hAnsi="Times New Roman" w:cs="Times New Roman"/>
          <w:sz w:val="24"/>
          <w:szCs w:val="24"/>
          <w:lang w:val="en-GB"/>
        </w:rPr>
        <w:t xml:space="preserve"> as part of the new frame. Not adhering to the new macro-frame might provoke further restrictive policy measure</w:t>
      </w:r>
      <w:r w:rsidR="001576BF">
        <w:rPr>
          <w:rFonts w:ascii="Times New Roman" w:hAnsi="Times New Roman" w:cs="Times New Roman"/>
          <w:sz w:val="24"/>
          <w:szCs w:val="24"/>
          <w:lang w:val="en-GB"/>
        </w:rPr>
        <w:t>s</w:t>
      </w:r>
      <w:r w:rsidR="00F96430" w:rsidRPr="00050DEF">
        <w:rPr>
          <w:rFonts w:ascii="Times New Roman" w:hAnsi="Times New Roman" w:cs="Times New Roman"/>
          <w:sz w:val="24"/>
          <w:szCs w:val="24"/>
          <w:lang w:val="en-GB"/>
        </w:rPr>
        <w:t xml:space="preserve"> in the shorter run against its interests as this may be seen as provocative and untimely. </w:t>
      </w:r>
      <w:r w:rsidRPr="00050DEF">
        <w:rPr>
          <w:rFonts w:ascii="Times New Roman" w:hAnsi="Times New Roman" w:cs="Times New Roman"/>
          <w:sz w:val="24"/>
          <w:szCs w:val="24"/>
          <w:lang w:val="en-GB"/>
        </w:rPr>
        <w:t xml:space="preserve">Moreover, by accommodating the concerns raised in the danger frame, the Brewers’ Association </w:t>
      </w:r>
      <w:r w:rsidR="00B40AB9" w:rsidRPr="00050DEF">
        <w:rPr>
          <w:rFonts w:ascii="Times New Roman" w:hAnsi="Times New Roman" w:cs="Times New Roman"/>
          <w:sz w:val="24"/>
          <w:szCs w:val="24"/>
          <w:lang w:val="en-GB"/>
        </w:rPr>
        <w:t>protects its public image.</w:t>
      </w:r>
      <w:r w:rsidRPr="00050DEF">
        <w:rPr>
          <w:rFonts w:ascii="Times New Roman" w:hAnsi="Times New Roman" w:cs="Times New Roman"/>
          <w:sz w:val="24"/>
          <w:szCs w:val="24"/>
          <w:lang w:val="en-GB"/>
        </w:rPr>
        <w:t xml:space="preserve"> </w:t>
      </w:r>
      <w:r w:rsidR="00F96430" w:rsidRPr="00050DEF">
        <w:rPr>
          <w:rFonts w:ascii="Times New Roman" w:hAnsi="Times New Roman" w:cs="Times New Roman"/>
          <w:sz w:val="24"/>
          <w:szCs w:val="24"/>
          <w:lang w:val="en-GB"/>
        </w:rPr>
        <w:t>The res</w:t>
      </w:r>
      <w:r w:rsidR="00074C43" w:rsidRPr="00050DEF">
        <w:rPr>
          <w:rFonts w:ascii="Times New Roman" w:hAnsi="Times New Roman" w:cs="Times New Roman"/>
          <w:sz w:val="24"/>
          <w:szCs w:val="24"/>
          <w:lang w:val="en-GB"/>
        </w:rPr>
        <w:t xml:space="preserve">ult is </w:t>
      </w:r>
      <w:r w:rsidR="00F96430" w:rsidRPr="00050DEF">
        <w:rPr>
          <w:rFonts w:ascii="Times New Roman" w:hAnsi="Times New Roman" w:cs="Times New Roman"/>
          <w:sz w:val="24"/>
          <w:szCs w:val="24"/>
          <w:lang w:val="en-GB"/>
        </w:rPr>
        <w:t xml:space="preserve">a combined exit and acceptance strategy, which is then substituted for a combined exit and </w:t>
      </w:r>
      <w:r w:rsidR="008F25DB" w:rsidRPr="00050DEF">
        <w:rPr>
          <w:rFonts w:ascii="Times New Roman" w:hAnsi="Times New Roman" w:cs="Times New Roman"/>
          <w:sz w:val="24"/>
          <w:szCs w:val="24"/>
          <w:lang w:val="en-GB"/>
        </w:rPr>
        <w:t xml:space="preserve">avoidance </w:t>
      </w:r>
      <w:r w:rsidR="00F96430" w:rsidRPr="00050DEF">
        <w:rPr>
          <w:rFonts w:ascii="Times New Roman" w:hAnsi="Times New Roman" w:cs="Times New Roman"/>
          <w:sz w:val="24"/>
          <w:szCs w:val="24"/>
          <w:lang w:val="en-GB"/>
        </w:rPr>
        <w:t xml:space="preserve">strategy after the smoke of the </w:t>
      </w:r>
      <w:r w:rsidR="001576BF">
        <w:rPr>
          <w:rFonts w:ascii="Times New Roman" w:hAnsi="Times New Roman" w:cs="Times New Roman"/>
          <w:sz w:val="24"/>
          <w:szCs w:val="24"/>
          <w:lang w:val="en-GB"/>
        </w:rPr>
        <w:t>major</w:t>
      </w:r>
      <w:r w:rsidR="00F96430" w:rsidRPr="00050DEF">
        <w:rPr>
          <w:rFonts w:ascii="Times New Roman" w:hAnsi="Times New Roman" w:cs="Times New Roman"/>
          <w:sz w:val="24"/>
          <w:szCs w:val="24"/>
          <w:lang w:val="en-GB"/>
        </w:rPr>
        <w:t xml:space="preserve"> reforms in the </w:t>
      </w:r>
      <w:r w:rsidR="00074C43" w:rsidRPr="00050DEF">
        <w:rPr>
          <w:rFonts w:ascii="Times New Roman" w:hAnsi="Times New Roman" w:cs="Times New Roman"/>
          <w:sz w:val="24"/>
          <w:szCs w:val="24"/>
          <w:lang w:val="en-GB"/>
        </w:rPr>
        <w:t>mid-2000s</w:t>
      </w:r>
      <w:r w:rsidR="00F96430" w:rsidRPr="00050DEF">
        <w:rPr>
          <w:rFonts w:ascii="Times New Roman" w:hAnsi="Times New Roman" w:cs="Times New Roman"/>
          <w:sz w:val="24"/>
          <w:szCs w:val="24"/>
          <w:lang w:val="en-GB"/>
        </w:rPr>
        <w:t xml:space="preserve"> has settled</w:t>
      </w:r>
      <w:r w:rsidR="00B40AB9" w:rsidRPr="00050DEF">
        <w:rPr>
          <w:rFonts w:ascii="Times New Roman" w:hAnsi="Times New Roman" w:cs="Times New Roman"/>
          <w:sz w:val="24"/>
          <w:szCs w:val="24"/>
          <w:lang w:val="en-GB"/>
        </w:rPr>
        <w:t xml:space="preserve"> and the Brewer Association return</w:t>
      </w:r>
      <w:r w:rsidR="00374190" w:rsidRPr="00050DEF">
        <w:rPr>
          <w:rFonts w:ascii="Times New Roman" w:hAnsi="Times New Roman" w:cs="Times New Roman"/>
          <w:sz w:val="24"/>
          <w:szCs w:val="24"/>
          <w:lang w:val="en-GB"/>
        </w:rPr>
        <w:t>s</w:t>
      </w:r>
      <w:r w:rsidR="00B40AB9" w:rsidRPr="00050DEF">
        <w:rPr>
          <w:rFonts w:ascii="Times New Roman" w:hAnsi="Times New Roman" w:cs="Times New Roman"/>
          <w:sz w:val="24"/>
          <w:szCs w:val="24"/>
          <w:lang w:val="en-GB"/>
        </w:rPr>
        <w:t xml:space="preserve"> to cater to its members</w:t>
      </w:r>
      <w:r w:rsidR="00374190" w:rsidRPr="00050DEF">
        <w:rPr>
          <w:rFonts w:ascii="Times New Roman" w:hAnsi="Times New Roman" w:cs="Times New Roman"/>
          <w:sz w:val="24"/>
          <w:szCs w:val="24"/>
          <w:lang w:val="en-GB"/>
        </w:rPr>
        <w:t>’</w:t>
      </w:r>
      <w:r w:rsidR="00B40AB9" w:rsidRPr="00050DEF">
        <w:rPr>
          <w:rFonts w:ascii="Times New Roman" w:hAnsi="Times New Roman" w:cs="Times New Roman"/>
          <w:sz w:val="24"/>
          <w:szCs w:val="24"/>
          <w:lang w:val="en-GB"/>
        </w:rPr>
        <w:t xml:space="preserve"> private interests</w:t>
      </w:r>
      <w:r w:rsidR="00F96430" w:rsidRPr="00050DEF">
        <w:rPr>
          <w:rFonts w:ascii="Times New Roman" w:hAnsi="Times New Roman" w:cs="Times New Roman"/>
          <w:sz w:val="24"/>
          <w:szCs w:val="24"/>
          <w:lang w:val="en-GB"/>
        </w:rPr>
        <w:t>.</w:t>
      </w:r>
      <w:r w:rsidR="00B40AB9" w:rsidRPr="00050DEF">
        <w:rPr>
          <w:rFonts w:ascii="Times New Roman" w:hAnsi="Times New Roman" w:cs="Times New Roman"/>
          <w:sz w:val="24"/>
          <w:szCs w:val="24"/>
          <w:lang w:val="en-GB"/>
        </w:rPr>
        <w:t xml:space="preserve"> Hence, in correspondence with our theoretical framework, </w:t>
      </w:r>
      <w:r w:rsidR="00374190" w:rsidRPr="00050DEF">
        <w:rPr>
          <w:rFonts w:ascii="Times New Roman" w:hAnsi="Times New Roman" w:cs="Times New Roman"/>
          <w:sz w:val="24"/>
          <w:szCs w:val="24"/>
          <w:lang w:val="en-GB"/>
        </w:rPr>
        <w:t xml:space="preserve">when </w:t>
      </w:r>
      <w:r w:rsidR="00B40AB9" w:rsidRPr="00050DEF">
        <w:rPr>
          <w:rFonts w:ascii="Times New Roman" w:hAnsi="Times New Roman" w:cs="Times New Roman"/>
          <w:sz w:val="24"/>
          <w:szCs w:val="24"/>
          <w:lang w:val="en-GB"/>
        </w:rPr>
        <w:t xml:space="preserve">an interest group </w:t>
      </w:r>
      <w:r w:rsidR="00374190" w:rsidRPr="00050DEF">
        <w:rPr>
          <w:rFonts w:ascii="Times New Roman" w:hAnsi="Times New Roman" w:cs="Times New Roman"/>
          <w:sz w:val="24"/>
          <w:szCs w:val="24"/>
          <w:lang w:val="en-GB"/>
        </w:rPr>
        <w:t xml:space="preserve">enters the enemy’s turf, it </w:t>
      </w:r>
      <w:r w:rsidR="00B40AB9" w:rsidRPr="00050DEF">
        <w:rPr>
          <w:rFonts w:ascii="Times New Roman" w:hAnsi="Times New Roman" w:cs="Times New Roman"/>
          <w:sz w:val="24"/>
          <w:szCs w:val="24"/>
          <w:lang w:val="en-GB"/>
        </w:rPr>
        <w:t xml:space="preserve">appears to put policy </w:t>
      </w:r>
      <w:r w:rsidR="00374190" w:rsidRPr="00050DEF">
        <w:rPr>
          <w:rFonts w:ascii="Times New Roman" w:hAnsi="Times New Roman" w:cs="Times New Roman"/>
          <w:sz w:val="24"/>
          <w:szCs w:val="24"/>
          <w:lang w:val="en-GB"/>
        </w:rPr>
        <w:t xml:space="preserve">(1) </w:t>
      </w:r>
      <w:r w:rsidR="00B40AB9" w:rsidRPr="00050DEF">
        <w:rPr>
          <w:rFonts w:ascii="Times New Roman" w:hAnsi="Times New Roman" w:cs="Times New Roman"/>
          <w:sz w:val="24"/>
          <w:szCs w:val="24"/>
          <w:lang w:val="en-GB"/>
        </w:rPr>
        <w:t xml:space="preserve">before its public image (2) and only cater to its members (3) when policy and image is not severely threatened. </w:t>
      </w:r>
    </w:p>
    <w:p w14:paraId="03E71DAD" w14:textId="77777777" w:rsidR="00633FCF" w:rsidRPr="00050DEF" w:rsidRDefault="00633FCF" w:rsidP="00633FCF">
      <w:pPr>
        <w:spacing w:after="0" w:line="480" w:lineRule="auto"/>
        <w:ind w:firstLine="567"/>
        <w:rPr>
          <w:rFonts w:ascii="Times New Roman" w:hAnsi="Times New Roman" w:cs="Times New Roman"/>
          <w:lang w:val="en-GB"/>
        </w:rPr>
      </w:pPr>
    </w:p>
    <w:p w14:paraId="546A3ADB" w14:textId="77777777" w:rsidR="00633FCF" w:rsidRPr="00050DEF" w:rsidRDefault="00633FCF" w:rsidP="00633FCF">
      <w:pPr>
        <w:spacing w:after="0" w:line="480" w:lineRule="auto"/>
        <w:rPr>
          <w:rFonts w:ascii="Times New Roman" w:hAnsi="Times New Roman" w:cs="Times New Roman"/>
          <w:sz w:val="24"/>
          <w:szCs w:val="24"/>
          <w:lang w:val="en-GB"/>
        </w:rPr>
      </w:pPr>
      <w:r w:rsidRPr="00050DEF">
        <w:rPr>
          <w:rFonts w:ascii="Times New Roman" w:hAnsi="Times New Roman" w:cs="Times New Roman"/>
          <w:b/>
          <w:sz w:val="24"/>
          <w:szCs w:val="24"/>
          <w:lang w:val="en-GB"/>
        </w:rPr>
        <w:t>Conclusion</w:t>
      </w:r>
    </w:p>
    <w:p w14:paraId="0A60C891" w14:textId="3B27D7CA" w:rsidR="00915BAB" w:rsidRPr="00050DEF" w:rsidRDefault="00B820E3" w:rsidP="00480F4B">
      <w:pPr>
        <w:spacing w:after="0"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 xml:space="preserve">The analysis </w:t>
      </w:r>
      <w:r w:rsidR="008E3C21" w:rsidRPr="00050DEF">
        <w:rPr>
          <w:rFonts w:ascii="Times New Roman" w:hAnsi="Times New Roman" w:cs="Times New Roman"/>
          <w:sz w:val="24"/>
          <w:szCs w:val="24"/>
          <w:lang w:val="en-GB"/>
        </w:rPr>
        <w:t>underlines</w:t>
      </w:r>
      <w:r w:rsidR="00EF5388" w:rsidRPr="00050DEF">
        <w:rPr>
          <w:rFonts w:ascii="Times New Roman" w:hAnsi="Times New Roman" w:cs="Times New Roman"/>
          <w:sz w:val="24"/>
          <w:szCs w:val="24"/>
          <w:lang w:val="en-GB"/>
        </w:rPr>
        <w:t xml:space="preserve"> the analytical value of thinking about how macro-frames constrain the micro-frames of interest groups. We presented a typology of strategic responses to misaligned macro-frames (i.e.</w:t>
      </w:r>
      <w:r w:rsidR="008E3C21" w:rsidRPr="00050DEF">
        <w:rPr>
          <w:rFonts w:ascii="Times New Roman" w:hAnsi="Times New Roman" w:cs="Times New Roman"/>
          <w:sz w:val="24"/>
          <w:szCs w:val="24"/>
          <w:lang w:val="en-GB"/>
        </w:rPr>
        <w:t>,</w:t>
      </w:r>
      <w:r w:rsidR="00EF5388" w:rsidRPr="00050DEF">
        <w:rPr>
          <w:rFonts w:ascii="Times New Roman" w:hAnsi="Times New Roman" w:cs="Times New Roman"/>
          <w:sz w:val="24"/>
          <w:szCs w:val="24"/>
          <w:lang w:val="en-GB"/>
        </w:rPr>
        <w:t xml:space="preserve"> macro-frames that go against the goals of an interest group) as well as a case study that allowed us to assess the </w:t>
      </w:r>
      <w:r w:rsidR="001576BF">
        <w:rPr>
          <w:rFonts w:ascii="Times New Roman" w:hAnsi="Times New Roman" w:cs="Times New Roman"/>
          <w:sz w:val="24"/>
          <w:szCs w:val="24"/>
          <w:lang w:val="en-GB"/>
        </w:rPr>
        <w:t xml:space="preserve">merits of the </w:t>
      </w:r>
      <w:r w:rsidR="00EF5388" w:rsidRPr="00050DEF">
        <w:rPr>
          <w:rFonts w:ascii="Times New Roman" w:hAnsi="Times New Roman" w:cs="Times New Roman"/>
          <w:sz w:val="24"/>
          <w:szCs w:val="24"/>
          <w:lang w:val="en-GB"/>
        </w:rPr>
        <w:t>typology</w:t>
      </w:r>
      <w:r w:rsidR="00DB1CDB" w:rsidRPr="00050DEF">
        <w:rPr>
          <w:rFonts w:ascii="Times New Roman" w:hAnsi="Times New Roman" w:cs="Times New Roman"/>
          <w:sz w:val="24"/>
          <w:szCs w:val="24"/>
          <w:lang w:val="en-GB"/>
        </w:rPr>
        <w:t xml:space="preserve"> and test tentative expectations on the sequence of micro-framing</w:t>
      </w:r>
      <w:r w:rsidR="00EF5388" w:rsidRPr="00050DEF">
        <w:rPr>
          <w:rFonts w:ascii="Times New Roman" w:hAnsi="Times New Roman" w:cs="Times New Roman"/>
          <w:sz w:val="24"/>
          <w:szCs w:val="24"/>
          <w:lang w:val="en-GB"/>
        </w:rPr>
        <w:t xml:space="preserve">. In </w:t>
      </w:r>
      <w:r w:rsidR="00915BAB" w:rsidRPr="00050DEF">
        <w:rPr>
          <w:rFonts w:ascii="Times New Roman" w:hAnsi="Times New Roman" w:cs="Times New Roman"/>
          <w:sz w:val="24"/>
          <w:szCs w:val="24"/>
          <w:lang w:val="en-GB"/>
        </w:rPr>
        <w:t xml:space="preserve">our study, the new macro-frame was </w:t>
      </w:r>
      <w:r w:rsidR="007225C2" w:rsidRPr="00050DEF">
        <w:rPr>
          <w:rFonts w:ascii="Times New Roman" w:hAnsi="Times New Roman" w:cs="Times New Roman"/>
          <w:sz w:val="24"/>
          <w:szCs w:val="24"/>
          <w:lang w:val="en-GB"/>
        </w:rPr>
        <w:t xml:space="preserve">both very misaligned and hegemonic. This was especially </w:t>
      </w:r>
      <w:r w:rsidRPr="00050DEF">
        <w:rPr>
          <w:rFonts w:ascii="Times New Roman" w:hAnsi="Times New Roman" w:cs="Times New Roman"/>
          <w:sz w:val="24"/>
          <w:szCs w:val="24"/>
          <w:lang w:val="en-GB"/>
        </w:rPr>
        <w:t xml:space="preserve">true </w:t>
      </w:r>
      <w:r w:rsidR="007225C2" w:rsidRPr="00050DEF">
        <w:rPr>
          <w:rFonts w:ascii="Times New Roman" w:hAnsi="Times New Roman" w:cs="Times New Roman"/>
          <w:sz w:val="24"/>
          <w:szCs w:val="24"/>
          <w:lang w:val="en-GB"/>
        </w:rPr>
        <w:t xml:space="preserve">in </w:t>
      </w:r>
      <w:r w:rsidR="007225C2" w:rsidRPr="00050DEF">
        <w:rPr>
          <w:rFonts w:ascii="Times New Roman" w:hAnsi="Times New Roman" w:cs="Times New Roman"/>
          <w:sz w:val="24"/>
          <w:szCs w:val="24"/>
          <w:lang w:val="en-GB"/>
        </w:rPr>
        <w:lastRenderedPageBreak/>
        <w:t xml:space="preserve">the first period after the </w:t>
      </w:r>
      <w:r w:rsidR="00915BAB" w:rsidRPr="00050DEF">
        <w:rPr>
          <w:rFonts w:ascii="Times New Roman" w:hAnsi="Times New Roman" w:cs="Times New Roman"/>
          <w:sz w:val="24"/>
          <w:szCs w:val="24"/>
          <w:lang w:val="en-GB"/>
        </w:rPr>
        <w:t>break</w:t>
      </w:r>
      <w:r w:rsidR="001576BF">
        <w:rPr>
          <w:rFonts w:ascii="Times New Roman" w:hAnsi="Times New Roman" w:cs="Times New Roman"/>
          <w:sz w:val="24"/>
          <w:szCs w:val="24"/>
          <w:lang w:val="en-GB"/>
        </w:rPr>
        <w:t>,</w:t>
      </w:r>
      <w:r w:rsidR="007225C2" w:rsidRPr="00050DEF">
        <w:rPr>
          <w:rFonts w:ascii="Times New Roman" w:hAnsi="Times New Roman" w:cs="Times New Roman"/>
          <w:sz w:val="24"/>
          <w:szCs w:val="24"/>
          <w:lang w:val="en-GB"/>
        </w:rPr>
        <w:t xml:space="preserve"> after which the macro-frame became less hegemonic, </w:t>
      </w:r>
      <w:r w:rsidR="001576BF">
        <w:rPr>
          <w:rFonts w:ascii="Times New Roman" w:hAnsi="Times New Roman" w:cs="Times New Roman"/>
          <w:sz w:val="24"/>
          <w:szCs w:val="24"/>
          <w:lang w:val="en-GB"/>
        </w:rPr>
        <w:t>al</w:t>
      </w:r>
      <w:r w:rsidR="007225C2" w:rsidRPr="00050DEF">
        <w:rPr>
          <w:rFonts w:ascii="Times New Roman" w:hAnsi="Times New Roman" w:cs="Times New Roman"/>
          <w:sz w:val="24"/>
          <w:szCs w:val="24"/>
          <w:lang w:val="en-GB"/>
        </w:rPr>
        <w:t xml:space="preserve">though still misaligned. </w:t>
      </w:r>
      <w:r w:rsidR="00816A35" w:rsidRPr="00050DEF">
        <w:rPr>
          <w:rFonts w:ascii="Times New Roman" w:hAnsi="Times New Roman" w:cs="Times New Roman"/>
          <w:sz w:val="24"/>
          <w:szCs w:val="24"/>
          <w:lang w:val="en-GB"/>
        </w:rPr>
        <w:t xml:space="preserve">In line with the </w:t>
      </w:r>
      <w:r w:rsidR="00B9085E" w:rsidRPr="00050DEF">
        <w:rPr>
          <w:rFonts w:ascii="Times New Roman" w:hAnsi="Times New Roman" w:cs="Times New Roman"/>
          <w:sz w:val="24"/>
          <w:szCs w:val="24"/>
          <w:lang w:val="en-GB"/>
        </w:rPr>
        <w:t xml:space="preserve">discussion </w:t>
      </w:r>
      <w:r w:rsidR="007225C2" w:rsidRPr="00050DEF">
        <w:rPr>
          <w:rFonts w:ascii="Times New Roman" w:hAnsi="Times New Roman" w:cs="Times New Roman"/>
          <w:sz w:val="24"/>
          <w:szCs w:val="24"/>
          <w:lang w:val="en-GB"/>
        </w:rPr>
        <w:t xml:space="preserve">in the theory section, the combination of a misaligned and hegemonic macro-frame led the Danish Brewers’ Association </w:t>
      </w:r>
      <w:r w:rsidR="00816A35" w:rsidRPr="00050DEF">
        <w:rPr>
          <w:rFonts w:ascii="Times New Roman" w:hAnsi="Times New Roman" w:cs="Times New Roman"/>
          <w:sz w:val="24"/>
          <w:szCs w:val="24"/>
          <w:lang w:val="en-GB"/>
        </w:rPr>
        <w:t>to adopt both an exit and acceptance strategy.</w:t>
      </w:r>
      <w:r w:rsidR="00DB1CDB" w:rsidRPr="00050DEF">
        <w:rPr>
          <w:rFonts w:ascii="Times New Roman" w:hAnsi="Times New Roman" w:cs="Times New Roman"/>
          <w:sz w:val="24"/>
          <w:szCs w:val="24"/>
          <w:lang w:val="en-GB"/>
        </w:rPr>
        <w:t xml:space="preserve"> At first, they used the micro-framing strategy to avoid stricter regulation and protect their public image.</w:t>
      </w:r>
      <w:r w:rsidR="00816A35" w:rsidRPr="00050DEF">
        <w:rPr>
          <w:rFonts w:ascii="Times New Roman" w:hAnsi="Times New Roman" w:cs="Times New Roman"/>
          <w:sz w:val="24"/>
          <w:szCs w:val="24"/>
          <w:lang w:val="en-GB"/>
        </w:rPr>
        <w:t xml:space="preserve"> Later on, with a less hegemonic macro-frame, </w:t>
      </w:r>
      <w:r w:rsidR="008F25DB" w:rsidRPr="00050DEF">
        <w:rPr>
          <w:rFonts w:ascii="Times New Roman" w:hAnsi="Times New Roman" w:cs="Times New Roman"/>
          <w:sz w:val="24"/>
          <w:szCs w:val="24"/>
          <w:lang w:val="en-GB"/>
        </w:rPr>
        <w:t xml:space="preserve">avoidance </w:t>
      </w:r>
      <w:r w:rsidR="00816A35" w:rsidRPr="00050DEF">
        <w:rPr>
          <w:rFonts w:ascii="Times New Roman" w:hAnsi="Times New Roman" w:cs="Times New Roman"/>
          <w:sz w:val="24"/>
          <w:szCs w:val="24"/>
          <w:lang w:val="en-GB"/>
        </w:rPr>
        <w:t>became more prominent but still in combination with exit.</w:t>
      </w:r>
      <w:r w:rsidR="00DB1CDB" w:rsidRPr="00050DEF">
        <w:rPr>
          <w:rFonts w:ascii="Times New Roman" w:hAnsi="Times New Roman" w:cs="Times New Roman"/>
          <w:sz w:val="24"/>
          <w:szCs w:val="24"/>
          <w:lang w:val="en-GB"/>
        </w:rPr>
        <w:t xml:space="preserve"> As soon as this became possible, the interest groups switch</w:t>
      </w:r>
      <w:r w:rsidR="008C33BB" w:rsidRPr="00050DEF">
        <w:rPr>
          <w:rFonts w:ascii="Times New Roman" w:hAnsi="Times New Roman" w:cs="Times New Roman"/>
          <w:sz w:val="24"/>
          <w:szCs w:val="24"/>
          <w:lang w:val="en-GB"/>
        </w:rPr>
        <w:t>ed</w:t>
      </w:r>
      <w:r w:rsidR="00DB1CDB" w:rsidRPr="00050DEF">
        <w:rPr>
          <w:rFonts w:ascii="Times New Roman" w:hAnsi="Times New Roman" w:cs="Times New Roman"/>
          <w:sz w:val="24"/>
          <w:szCs w:val="24"/>
          <w:lang w:val="en-GB"/>
        </w:rPr>
        <w:t xml:space="preserve"> to its core strategy, namely to advance its members’ private interests.</w:t>
      </w:r>
      <w:r w:rsidR="00816A35" w:rsidRPr="00050DEF">
        <w:rPr>
          <w:rFonts w:ascii="Times New Roman" w:hAnsi="Times New Roman" w:cs="Times New Roman"/>
          <w:sz w:val="24"/>
          <w:szCs w:val="24"/>
          <w:lang w:val="en-GB"/>
        </w:rPr>
        <w:t xml:space="preserve"> </w:t>
      </w:r>
      <w:r w:rsidR="00480F4B" w:rsidRPr="00050DEF">
        <w:rPr>
          <w:rFonts w:ascii="Times New Roman" w:hAnsi="Times New Roman" w:cs="Times New Roman"/>
          <w:sz w:val="24"/>
          <w:szCs w:val="24"/>
          <w:lang w:val="en-GB"/>
        </w:rPr>
        <w:t xml:space="preserve">Hence, our analysis </w:t>
      </w:r>
      <w:r w:rsidR="00375D0B" w:rsidRPr="00050DEF">
        <w:rPr>
          <w:rFonts w:ascii="Times New Roman" w:hAnsi="Times New Roman" w:cs="Times New Roman"/>
          <w:sz w:val="24"/>
          <w:szCs w:val="24"/>
          <w:lang w:val="en-GB"/>
        </w:rPr>
        <w:t xml:space="preserve">touches on </w:t>
      </w:r>
      <w:r w:rsidR="00480F4B" w:rsidRPr="00050DEF">
        <w:rPr>
          <w:rFonts w:ascii="Times New Roman" w:hAnsi="Times New Roman" w:cs="Times New Roman"/>
          <w:sz w:val="24"/>
          <w:szCs w:val="24"/>
          <w:lang w:val="en-GB"/>
        </w:rPr>
        <w:t>a classic conflict for interest groups</w:t>
      </w:r>
      <w:r w:rsidR="00865D25">
        <w:rPr>
          <w:rFonts w:ascii="Times New Roman" w:hAnsi="Times New Roman" w:cs="Times New Roman"/>
          <w:sz w:val="24"/>
          <w:szCs w:val="24"/>
          <w:lang w:val="en-GB"/>
        </w:rPr>
        <w:t>,</w:t>
      </w:r>
      <w:r w:rsidR="00480F4B" w:rsidRPr="00050DEF">
        <w:rPr>
          <w:rFonts w:ascii="Times New Roman" w:hAnsi="Times New Roman" w:cs="Times New Roman"/>
          <w:sz w:val="24"/>
          <w:szCs w:val="24"/>
          <w:lang w:val="en-GB"/>
        </w:rPr>
        <w:t xml:space="preserve"> namely on how to </w:t>
      </w:r>
      <w:r w:rsidR="00375D0B" w:rsidRPr="00050DEF">
        <w:rPr>
          <w:rFonts w:ascii="Times New Roman" w:hAnsi="Times New Roman" w:cs="Times New Roman"/>
          <w:sz w:val="24"/>
          <w:szCs w:val="24"/>
          <w:lang w:val="en-GB"/>
        </w:rPr>
        <w:t xml:space="preserve">navigate when </w:t>
      </w:r>
      <w:r w:rsidR="00480F4B" w:rsidRPr="00050DEF">
        <w:rPr>
          <w:rFonts w:ascii="Times New Roman" w:hAnsi="Times New Roman" w:cs="Times New Roman"/>
          <w:sz w:val="24"/>
          <w:szCs w:val="24"/>
          <w:lang w:val="en-GB"/>
        </w:rPr>
        <w:t>private and public interests</w:t>
      </w:r>
      <w:r w:rsidR="00375D0B" w:rsidRPr="00050DEF">
        <w:rPr>
          <w:rFonts w:ascii="Times New Roman" w:hAnsi="Times New Roman" w:cs="Times New Roman"/>
          <w:sz w:val="24"/>
          <w:szCs w:val="24"/>
          <w:lang w:val="en-GB"/>
        </w:rPr>
        <w:t xml:space="preserve"> collide</w:t>
      </w:r>
      <w:r w:rsidR="00480F4B" w:rsidRPr="00050DEF">
        <w:rPr>
          <w:rFonts w:ascii="Times New Roman" w:hAnsi="Times New Roman" w:cs="Times New Roman"/>
          <w:sz w:val="24"/>
          <w:szCs w:val="24"/>
          <w:lang w:val="en-GB"/>
        </w:rPr>
        <w:t xml:space="preserve">. </w:t>
      </w:r>
      <w:r w:rsidR="00915BAB" w:rsidRPr="00050DEF">
        <w:rPr>
          <w:rFonts w:ascii="Times New Roman" w:hAnsi="Times New Roman" w:cs="Times New Roman"/>
          <w:sz w:val="24"/>
          <w:szCs w:val="24"/>
          <w:lang w:val="en-GB"/>
        </w:rPr>
        <w:t xml:space="preserve">To us, </w:t>
      </w:r>
      <w:r w:rsidR="00480F4B" w:rsidRPr="00050DEF">
        <w:rPr>
          <w:rFonts w:ascii="Times New Roman" w:hAnsi="Times New Roman" w:cs="Times New Roman"/>
          <w:sz w:val="24"/>
          <w:szCs w:val="24"/>
          <w:lang w:val="en-GB"/>
        </w:rPr>
        <w:t>our</w:t>
      </w:r>
      <w:r w:rsidR="00915BAB" w:rsidRPr="00050DEF">
        <w:rPr>
          <w:rFonts w:ascii="Times New Roman" w:hAnsi="Times New Roman" w:cs="Times New Roman"/>
          <w:sz w:val="24"/>
          <w:szCs w:val="24"/>
          <w:lang w:val="en-GB"/>
        </w:rPr>
        <w:t xml:space="preserve"> findings suggest that our framework not only allow</w:t>
      </w:r>
      <w:r w:rsidR="008C33BB" w:rsidRPr="00050DEF">
        <w:rPr>
          <w:rFonts w:ascii="Times New Roman" w:hAnsi="Times New Roman" w:cs="Times New Roman"/>
          <w:sz w:val="24"/>
          <w:szCs w:val="24"/>
          <w:lang w:val="en-GB"/>
        </w:rPr>
        <w:t>s</w:t>
      </w:r>
      <w:r w:rsidR="00915BAB" w:rsidRPr="00050DEF">
        <w:rPr>
          <w:rFonts w:ascii="Times New Roman" w:hAnsi="Times New Roman" w:cs="Times New Roman"/>
          <w:sz w:val="24"/>
          <w:szCs w:val="24"/>
          <w:lang w:val="en-GB"/>
        </w:rPr>
        <w:t xml:space="preserve"> us to categori</w:t>
      </w:r>
      <w:r w:rsidR="00865D25">
        <w:rPr>
          <w:rFonts w:ascii="Times New Roman" w:hAnsi="Times New Roman" w:cs="Times New Roman"/>
          <w:sz w:val="24"/>
          <w:szCs w:val="24"/>
          <w:lang w:val="en-GB"/>
        </w:rPr>
        <w:t>s</w:t>
      </w:r>
      <w:r w:rsidR="00915BAB" w:rsidRPr="00050DEF">
        <w:rPr>
          <w:rFonts w:ascii="Times New Roman" w:hAnsi="Times New Roman" w:cs="Times New Roman"/>
          <w:sz w:val="24"/>
          <w:szCs w:val="24"/>
          <w:lang w:val="en-GB"/>
        </w:rPr>
        <w:t>e micro-frame strategies</w:t>
      </w:r>
      <w:r w:rsidR="00375D0B" w:rsidRPr="00050DEF">
        <w:rPr>
          <w:rFonts w:ascii="Times New Roman" w:hAnsi="Times New Roman" w:cs="Times New Roman"/>
          <w:sz w:val="24"/>
          <w:szCs w:val="24"/>
          <w:lang w:val="en-GB"/>
        </w:rPr>
        <w:t xml:space="preserve"> based on this private-public distinction</w:t>
      </w:r>
      <w:r w:rsidR="00915BAB" w:rsidRPr="00050DEF">
        <w:rPr>
          <w:rFonts w:ascii="Times New Roman" w:hAnsi="Times New Roman" w:cs="Times New Roman"/>
          <w:sz w:val="24"/>
          <w:szCs w:val="24"/>
          <w:lang w:val="en-GB"/>
        </w:rPr>
        <w:t xml:space="preserve"> but also </w:t>
      </w:r>
      <w:r w:rsidR="008C33BB" w:rsidRPr="00050DEF">
        <w:rPr>
          <w:rFonts w:ascii="Times New Roman" w:hAnsi="Times New Roman" w:cs="Times New Roman"/>
          <w:sz w:val="24"/>
          <w:szCs w:val="24"/>
          <w:lang w:val="en-GB"/>
        </w:rPr>
        <w:t xml:space="preserve">allows us to </w:t>
      </w:r>
      <w:r w:rsidR="00915BAB" w:rsidRPr="00050DEF">
        <w:rPr>
          <w:rFonts w:ascii="Times New Roman" w:hAnsi="Times New Roman" w:cs="Times New Roman"/>
          <w:sz w:val="24"/>
          <w:szCs w:val="24"/>
          <w:lang w:val="en-GB"/>
        </w:rPr>
        <w:t>begin to understand what drive</w:t>
      </w:r>
      <w:r w:rsidR="00B71EE0" w:rsidRPr="00050DEF">
        <w:rPr>
          <w:rFonts w:ascii="Times New Roman" w:hAnsi="Times New Roman" w:cs="Times New Roman"/>
          <w:sz w:val="24"/>
          <w:szCs w:val="24"/>
          <w:lang w:val="en-GB"/>
        </w:rPr>
        <w:t>s</w:t>
      </w:r>
      <w:r w:rsidR="00915BAB" w:rsidRPr="00050DEF">
        <w:rPr>
          <w:rFonts w:ascii="Times New Roman" w:hAnsi="Times New Roman" w:cs="Times New Roman"/>
          <w:sz w:val="24"/>
          <w:szCs w:val="24"/>
          <w:lang w:val="en-GB"/>
        </w:rPr>
        <w:t xml:space="preserve"> </w:t>
      </w:r>
      <w:r w:rsidR="00B71EE0" w:rsidRPr="00050DEF">
        <w:rPr>
          <w:rFonts w:ascii="Times New Roman" w:hAnsi="Times New Roman" w:cs="Times New Roman"/>
          <w:sz w:val="24"/>
          <w:szCs w:val="24"/>
          <w:lang w:val="en-GB"/>
        </w:rPr>
        <w:t xml:space="preserve">the choice of </w:t>
      </w:r>
      <w:r w:rsidR="00915BAB" w:rsidRPr="00050DEF">
        <w:rPr>
          <w:rFonts w:ascii="Times New Roman" w:hAnsi="Times New Roman" w:cs="Times New Roman"/>
          <w:sz w:val="24"/>
          <w:szCs w:val="24"/>
          <w:lang w:val="en-GB"/>
        </w:rPr>
        <w:t xml:space="preserve">strategies. </w:t>
      </w:r>
    </w:p>
    <w:p w14:paraId="6C854CCD" w14:textId="77777777" w:rsidR="00633FCF" w:rsidRPr="00050DEF" w:rsidRDefault="00633FCF" w:rsidP="00633FCF">
      <w:pPr>
        <w:spacing w:after="0"/>
        <w:rPr>
          <w:rFonts w:ascii="Times New Roman" w:hAnsi="Times New Roman" w:cs="Times New Roman"/>
          <w:lang w:val="en-GB"/>
        </w:rPr>
      </w:pPr>
    </w:p>
    <w:p w14:paraId="1A3A3E39" w14:textId="77777777" w:rsidR="00633FCF" w:rsidRPr="004D2D60" w:rsidRDefault="00633FCF" w:rsidP="00411DAC">
      <w:pPr>
        <w:spacing w:after="0" w:line="480" w:lineRule="auto"/>
        <w:rPr>
          <w:rFonts w:ascii="Times New Roman" w:hAnsi="Times New Roman" w:cs="Times New Roman"/>
          <w:b/>
          <w:sz w:val="24"/>
          <w:szCs w:val="24"/>
        </w:rPr>
      </w:pPr>
      <w:r w:rsidRPr="004D2D60">
        <w:rPr>
          <w:rFonts w:ascii="Times New Roman" w:hAnsi="Times New Roman" w:cs="Times New Roman"/>
          <w:b/>
          <w:sz w:val="24"/>
          <w:szCs w:val="24"/>
        </w:rPr>
        <w:t>References</w:t>
      </w:r>
    </w:p>
    <w:p w14:paraId="4771D651" w14:textId="0E64D698" w:rsidR="001132EB" w:rsidRPr="00050DEF" w:rsidRDefault="001132EB" w:rsidP="00411DAC">
      <w:pPr>
        <w:pStyle w:val="Bibliografi"/>
        <w:spacing w:line="480" w:lineRule="auto"/>
        <w:rPr>
          <w:rFonts w:ascii="Times New Roman" w:hAnsi="Times New Roman" w:cs="Times New Roman"/>
          <w:sz w:val="24"/>
          <w:szCs w:val="24"/>
          <w:lang w:val="en-GB"/>
        </w:rPr>
      </w:pPr>
      <w:r w:rsidRPr="00481D09">
        <w:rPr>
          <w:rFonts w:ascii="Times New Roman" w:hAnsi="Times New Roman" w:cs="Times New Roman"/>
          <w:sz w:val="24"/>
          <w:szCs w:val="24"/>
          <w:lang w:val="en-US"/>
        </w:rPr>
        <w:t>Bale, T</w:t>
      </w:r>
      <w:r w:rsidR="00A46E9C" w:rsidRPr="00481D09">
        <w:rPr>
          <w:rFonts w:ascii="Times New Roman" w:hAnsi="Times New Roman" w:cs="Times New Roman"/>
          <w:sz w:val="24"/>
          <w:szCs w:val="24"/>
          <w:lang w:val="en-US"/>
        </w:rPr>
        <w:t>.</w:t>
      </w:r>
      <w:r w:rsidR="00481D09" w:rsidRPr="00481D09">
        <w:rPr>
          <w:rFonts w:ascii="Times New Roman" w:hAnsi="Times New Roman" w:cs="Times New Roman"/>
          <w:sz w:val="24"/>
          <w:szCs w:val="24"/>
          <w:lang w:val="en-US"/>
        </w:rPr>
        <w:t>, Green-Pedersen, Christoffer, Krouwel, Andre, Luther, Kurt, and Nick Sitter</w:t>
      </w:r>
      <w:r w:rsidRPr="00481D09">
        <w:rPr>
          <w:rFonts w:ascii="Times New Roman" w:hAnsi="Times New Roman" w:cs="Times New Roman"/>
          <w:sz w:val="24"/>
          <w:szCs w:val="24"/>
          <w:lang w:val="en-US"/>
        </w:rPr>
        <w:t xml:space="preserve"> </w:t>
      </w:r>
      <w:r w:rsidRPr="00050DEF">
        <w:rPr>
          <w:rFonts w:ascii="Times New Roman" w:hAnsi="Times New Roman" w:cs="Times New Roman"/>
          <w:sz w:val="24"/>
          <w:szCs w:val="24"/>
          <w:lang w:val="en-GB"/>
        </w:rPr>
        <w:t xml:space="preserve">(2010) ‘If </w:t>
      </w:r>
      <w:r w:rsidR="00FC33A0" w:rsidRPr="00050DEF">
        <w:rPr>
          <w:rFonts w:ascii="Times New Roman" w:hAnsi="Times New Roman" w:cs="Times New Roman"/>
          <w:sz w:val="24"/>
          <w:szCs w:val="24"/>
          <w:lang w:val="en-GB"/>
        </w:rPr>
        <w:t>you can’t beat them, join them</w:t>
      </w:r>
      <w:r w:rsidR="00EC2582"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Pr="00050DEF">
        <w:rPr>
          <w:rFonts w:ascii="Times New Roman" w:hAnsi="Times New Roman" w:cs="Times New Roman"/>
          <w:i/>
          <w:iCs/>
          <w:sz w:val="24"/>
          <w:szCs w:val="24"/>
          <w:lang w:val="en-GB"/>
        </w:rPr>
        <w:t>Political Studies</w:t>
      </w:r>
      <w:r w:rsidRPr="00050DEF">
        <w:rPr>
          <w:rFonts w:ascii="Times New Roman" w:hAnsi="Times New Roman" w:cs="Times New Roman"/>
          <w:sz w:val="24"/>
          <w:szCs w:val="24"/>
          <w:lang w:val="en-GB"/>
        </w:rPr>
        <w:t xml:space="preserve"> 5</w:t>
      </w:r>
      <w:r w:rsidR="00EC2582" w:rsidRPr="00050DEF">
        <w:rPr>
          <w:rFonts w:ascii="Times New Roman" w:hAnsi="Times New Roman" w:cs="Times New Roman"/>
          <w:sz w:val="24"/>
          <w:szCs w:val="24"/>
          <w:lang w:val="en-GB"/>
        </w:rPr>
        <w:t>8</w:t>
      </w:r>
      <w:r w:rsidR="00481D09">
        <w:rPr>
          <w:rFonts w:ascii="Times New Roman" w:hAnsi="Times New Roman" w:cs="Times New Roman"/>
          <w:sz w:val="24"/>
          <w:szCs w:val="24"/>
          <w:lang w:val="en-GB"/>
        </w:rPr>
        <w:t>.</w:t>
      </w:r>
      <w:r w:rsidR="00EC2582" w:rsidRPr="00050DEF">
        <w:rPr>
          <w:rFonts w:ascii="Times New Roman" w:hAnsi="Times New Roman" w:cs="Times New Roman"/>
          <w:sz w:val="24"/>
          <w:szCs w:val="24"/>
          <w:lang w:val="en-GB"/>
        </w:rPr>
        <w:t>3</w:t>
      </w:r>
      <w:r w:rsidR="00A46E9C">
        <w:rPr>
          <w:rFonts w:ascii="Times New Roman" w:hAnsi="Times New Roman" w:cs="Times New Roman"/>
          <w:sz w:val="24"/>
          <w:szCs w:val="24"/>
          <w:lang w:val="en-GB"/>
        </w:rPr>
        <w:t>:</w:t>
      </w:r>
      <w:r w:rsidR="00EC2582" w:rsidRPr="00050DEF">
        <w:rPr>
          <w:rFonts w:ascii="Times New Roman" w:hAnsi="Times New Roman" w:cs="Times New Roman"/>
          <w:sz w:val="24"/>
          <w:szCs w:val="24"/>
          <w:lang w:val="en-GB"/>
        </w:rPr>
        <w:t xml:space="preserve"> 410</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26.</w:t>
      </w:r>
    </w:p>
    <w:p w14:paraId="7537B172" w14:textId="15B6569A"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Baumgartner, F</w:t>
      </w:r>
      <w:r w:rsidR="00A46E9C">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Jones</w:t>
      </w:r>
      <w:r w:rsidR="00A46E9C">
        <w:rPr>
          <w:rFonts w:ascii="Times New Roman" w:hAnsi="Times New Roman" w:cs="Times New Roman"/>
          <w:sz w:val="24"/>
          <w:szCs w:val="24"/>
          <w:lang w:val="en-GB"/>
        </w:rPr>
        <w:t>, B.</w:t>
      </w:r>
      <w:r w:rsidRPr="00050DEF">
        <w:rPr>
          <w:rFonts w:ascii="Times New Roman" w:hAnsi="Times New Roman" w:cs="Times New Roman"/>
          <w:sz w:val="24"/>
          <w:szCs w:val="24"/>
          <w:lang w:val="en-GB"/>
        </w:rPr>
        <w:t xml:space="preserve"> (1993) </w:t>
      </w:r>
      <w:r w:rsidRPr="00050DEF">
        <w:rPr>
          <w:rFonts w:ascii="Times New Roman" w:hAnsi="Times New Roman" w:cs="Times New Roman"/>
          <w:i/>
          <w:iCs/>
          <w:sz w:val="24"/>
          <w:szCs w:val="24"/>
          <w:lang w:val="en-GB"/>
        </w:rPr>
        <w:t>Agendas and Instabilities in American Politics</w:t>
      </w:r>
      <w:r w:rsidR="00A46E9C">
        <w:rPr>
          <w:rFonts w:ascii="Times New Roman" w:hAnsi="Times New Roman" w:cs="Times New Roman"/>
          <w:sz w:val="24"/>
          <w:szCs w:val="24"/>
          <w:lang w:val="en-GB"/>
        </w:rPr>
        <w:t>,</w:t>
      </w:r>
      <w:r w:rsidR="00EC2582"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University of Chicago Press.</w:t>
      </w:r>
    </w:p>
    <w:p w14:paraId="749F6250" w14:textId="63CFE529"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Baumgartner, F</w:t>
      </w:r>
      <w:r w:rsidR="00A46E9C">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(2013) ‘Ideas and </w:t>
      </w:r>
      <w:r w:rsidR="00FC33A0" w:rsidRPr="00050DEF">
        <w:rPr>
          <w:rFonts w:ascii="Times New Roman" w:hAnsi="Times New Roman" w:cs="Times New Roman"/>
          <w:sz w:val="24"/>
          <w:szCs w:val="24"/>
          <w:lang w:val="en-GB"/>
        </w:rPr>
        <w:t>policy c</w:t>
      </w:r>
      <w:r w:rsidRPr="00050DEF">
        <w:rPr>
          <w:rFonts w:ascii="Times New Roman" w:hAnsi="Times New Roman" w:cs="Times New Roman"/>
          <w:sz w:val="24"/>
          <w:szCs w:val="24"/>
          <w:lang w:val="en-GB"/>
        </w:rPr>
        <w:t xml:space="preserve">hange’, </w:t>
      </w:r>
      <w:r w:rsidRPr="00050DEF">
        <w:rPr>
          <w:rFonts w:ascii="Times New Roman" w:hAnsi="Times New Roman" w:cs="Times New Roman"/>
          <w:i/>
          <w:iCs/>
          <w:sz w:val="24"/>
          <w:szCs w:val="24"/>
          <w:lang w:val="en-GB"/>
        </w:rPr>
        <w:t>Governance</w:t>
      </w:r>
      <w:r w:rsidRPr="00050DEF">
        <w:rPr>
          <w:rFonts w:ascii="Times New Roman" w:hAnsi="Times New Roman" w:cs="Times New Roman"/>
          <w:sz w:val="24"/>
          <w:szCs w:val="24"/>
          <w:lang w:val="en-GB"/>
        </w:rPr>
        <w:t xml:space="preserve"> 26</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2</w:t>
      </w:r>
      <w:r w:rsidR="00A46E9C">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239</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58.</w:t>
      </w:r>
    </w:p>
    <w:p w14:paraId="218B99AA" w14:textId="263FEC18"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Baumgartner, F</w:t>
      </w:r>
      <w:r w:rsidR="00A46E9C">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Mahoney</w:t>
      </w:r>
      <w:r w:rsidR="00A46E9C">
        <w:rPr>
          <w:rFonts w:ascii="Times New Roman" w:hAnsi="Times New Roman" w:cs="Times New Roman"/>
          <w:sz w:val="24"/>
          <w:szCs w:val="24"/>
          <w:lang w:val="en-GB"/>
        </w:rPr>
        <w:t>, C.</w:t>
      </w:r>
      <w:r w:rsidRPr="00050DEF">
        <w:rPr>
          <w:rFonts w:ascii="Times New Roman" w:hAnsi="Times New Roman" w:cs="Times New Roman"/>
          <w:sz w:val="24"/>
          <w:szCs w:val="24"/>
          <w:lang w:val="en-GB"/>
        </w:rPr>
        <w:t xml:space="preserve"> (2</w:t>
      </w:r>
      <w:r w:rsidR="00B16F08" w:rsidRPr="00050DEF">
        <w:rPr>
          <w:rFonts w:ascii="Times New Roman" w:hAnsi="Times New Roman" w:cs="Times New Roman"/>
          <w:sz w:val="24"/>
          <w:szCs w:val="24"/>
          <w:lang w:val="en-GB"/>
        </w:rPr>
        <w:t xml:space="preserve">008) ‘The </w:t>
      </w:r>
      <w:r w:rsidR="00FC33A0" w:rsidRPr="00050DEF">
        <w:rPr>
          <w:rFonts w:ascii="Times New Roman" w:hAnsi="Times New Roman" w:cs="Times New Roman"/>
          <w:sz w:val="24"/>
          <w:szCs w:val="24"/>
          <w:lang w:val="en-GB"/>
        </w:rPr>
        <w:t>two faces of framing’</w:t>
      </w:r>
      <w:r w:rsidRPr="00050DEF">
        <w:rPr>
          <w:rFonts w:ascii="Times New Roman" w:hAnsi="Times New Roman" w:cs="Times New Roman"/>
          <w:sz w:val="24"/>
          <w:szCs w:val="24"/>
          <w:lang w:val="en-GB"/>
        </w:rPr>
        <w:t xml:space="preserve">, </w:t>
      </w:r>
      <w:r w:rsidRPr="00050DEF">
        <w:rPr>
          <w:rFonts w:ascii="Times New Roman" w:hAnsi="Times New Roman" w:cs="Times New Roman"/>
          <w:i/>
          <w:iCs/>
          <w:sz w:val="24"/>
          <w:szCs w:val="24"/>
          <w:lang w:val="en-GB"/>
        </w:rPr>
        <w:t>European Union Politics</w:t>
      </w:r>
      <w:r w:rsidRPr="00050DEF">
        <w:rPr>
          <w:rFonts w:ascii="Times New Roman" w:hAnsi="Times New Roman" w:cs="Times New Roman"/>
          <w:sz w:val="24"/>
          <w:szCs w:val="24"/>
          <w:lang w:val="en-GB"/>
        </w:rPr>
        <w:t xml:space="preserve"> 9</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A46E9C">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435</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49.</w:t>
      </w:r>
    </w:p>
    <w:p w14:paraId="1F71D160" w14:textId="77777777" w:rsidR="00CF14F1" w:rsidRDefault="001132EB" w:rsidP="00CF14F1">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Berkhout, J</w:t>
      </w:r>
      <w:r w:rsidR="004E000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(2013) ‘Why interest organizations do what they do’, </w:t>
      </w:r>
      <w:r w:rsidRPr="00050DEF">
        <w:rPr>
          <w:rFonts w:ascii="Times New Roman" w:hAnsi="Times New Roman" w:cs="Times New Roman"/>
          <w:i/>
          <w:iCs/>
          <w:sz w:val="24"/>
          <w:szCs w:val="24"/>
          <w:lang w:val="en-GB"/>
        </w:rPr>
        <w:t>Interest Groups &amp; Advocacy</w:t>
      </w:r>
      <w:r w:rsidRPr="00050DEF">
        <w:rPr>
          <w:rFonts w:ascii="Times New Roman" w:hAnsi="Times New Roman" w:cs="Times New Roman"/>
          <w:sz w:val="24"/>
          <w:szCs w:val="24"/>
          <w:lang w:val="en-GB"/>
        </w:rPr>
        <w:t xml:space="preserve"> 2</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2</w:t>
      </w:r>
      <w:r w:rsidR="004E000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227</w:t>
      </w:r>
      <w:r w:rsidR="00481D09">
        <w:rPr>
          <w:rFonts w:ascii="Times New Roman" w:hAnsi="Times New Roman" w:cs="Times New Roman"/>
          <w:sz w:val="24"/>
          <w:szCs w:val="24"/>
          <w:lang w:val="en-GB"/>
        </w:rPr>
        <w:t>-</w:t>
      </w:r>
      <w:r w:rsidRPr="00050DEF">
        <w:rPr>
          <w:rFonts w:ascii="Times New Roman" w:hAnsi="Times New Roman" w:cs="Times New Roman"/>
          <w:sz w:val="24"/>
          <w:szCs w:val="24"/>
          <w:lang w:val="en-GB"/>
        </w:rPr>
        <w:t>50.</w:t>
      </w:r>
    </w:p>
    <w:p w14:paraId="33A7A1A3" w14:textId="300DE0B2" w:rsidR="000B72EF" w:rsidRPr="00CF14F1" w:rsidRDefault="000B72EF" w:rsidP="00CF14F1">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Binderkrantz, A</w:t>
      </w:r>
      <w:r w:rsidR="004E000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(2019) ‘Interest group framing in Denmark and the UK: membership representation or public appeal?’, </w:t>
      </w:r>
      <w:r w:rsidRPr="00050DEF">
        <w:rPr>
          <w:rFonts w:ascii="Times New Roman" w:hAnsi="Times New Roman" w:cs="Times New Roman"/>
          <w:i/>
          <w:iCs/>
          <w:sz w:val="24"/>
          <w:szCs w:val="24"/>
          <w:lang w:val="en-GB"/>
        </w:rPr>
        <w:t>Journal of European Public Policy</w:t>
      </w:r>
      <w:r w:rsidR="00CF14F1">
        <w:rPr>
          <w:rFonts w:ascii="Times New Roman" w:hAnsi="Times New Roman" w:cs="Times New Roman"/>
          <w:sz w:val="24"/>
          <w:szCs w:val="24"/>
          <w:lang w:val="en-GB"/>
        </w:rPr>
        <w:t xml:space="preserve">, </w:t>
      </w:r>
      <w:r w:rsidR="00CF14F1" w:rsidRPr="00CF14F1">
        <w:rPr>
          <w:rFonts w:ascii="Times New Roman" w:hAnsi="Times New Roman" w:cs="Times New Roman"/>
          <w:sz w:val="24"/>
          <w:szCs w:val="24"/>
          <w:lang w:val="en-GB"/>
        </w:rPr>
        <w:t xml:space="preserve">DOI: </w:t>
      </w:r>
      <w:hyperlink r:id="rId8" w:history="1">
        <w:r w:rsidR="00CF14F1" w:rsidRPr="00CF14F1">
          <w:rPr>
            <w:rStyle w:val="Hyperlink"/>
            <w:rFonts w:ascii="Times New Roman" w:hAnsi="Times New Roman" w:cs="Times New Roman"/>
            <w:color w:val="006DB4"/>
            <w:sz w:val="24"/>
            <w:szCs w:val="24"/>
            <w:lang w:val="en-US"/>
          </w:rPr>
          <w:t>https://doi.org/10.1080/13501763.2019.1599041</w:t>
        </w:r>
      </w:hyperlink>
      <w:r w:rsidRPr="00CF14F1">
        <w:rPr>
          <w:rFonts w:ascii="Times New Roman" w:hAnsi="Times New Roman" w:cs="Times New Roman"/>
          <w:sz w:val="24"/>
          <w:szCs w:val="24"/>
          <w:lang w:val="en-GB"/>
        </w:rPr>
        <w:t>.</w:t>
      </w:r>
    </w:p>
    <w:p w14:paraId="40F0C04F" w14:textId="0FDF94F5"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Binderkrantz, A</w:t>
      </w:r>
      <w:r w:rsidR="002E5572">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Christiansen</w:t>
      </w:r>
      <w:r w:rsidR="002E5572">
        <w:rPr>
          <w:rFonts w:ascii="Times New Roman" w:hAnsi="Times New Roman" w:cs="Times New Roman"/>
          <w:sz w:val="24"/>
          <w:szCs w:val="24"/>
          <w:lang w:val="en-GB"/>
        </w:rPr>
        <w:t>, P.</w:t>
      </w:r>
      <w:r w:rsidRPr="00050DEF">
        <w:rPr>
          <w:rFonts w:ascii="Times New Roman" w:hAnsi="Times New Roman" w:cs="Times New Roman"/>
          <w:sz w:val="24"/>
          <w:szCs w:val="24"/>
          <w:lang w:val="en-GB"/>
        </w:rPr>
        <w:t xml:space="preserve"> (2015) ‘Fro</w:t>
      </w:r>
      <w:r w:rsidR="00B16F08" w:rsidRPr="00050DEF">
        <w:rPr>
          <w:rFonts w:ascii="Times New Roman" w:hAnsi="Times New Roman" w:cs="Times New Roman"/>
          <w:sz w:val="24"/>
          <w:szCs w:val="24"/>
          <w:lang w:val="en-GB"/>
        </w:rPr>
        <w:t>m classic to modern corporatism</w:t>
      </w:r>
      <w:r w:rsidRPr="00050DEF">
        <w:rPr>
          <w:rFonts w:ascii="Times New Roman" w:hAnsi="Times New Roman" w:cs="Times New Roman"/>
          <w:sz w:val="24"/>
          <w:szCs w:val="24"/>
          <w:lang w:val="en-GB"/>
        </w:rPr>
        <w:t xml:space="preserve">’, </w:t>
      </w:r>
      <w:r w:rsidRPr="00050DEF">
        <w:rPr>
          <w:rFonts w:ascii="Times New Roman" w:hAnsi="Times New Roman" w:cs="Times New Roman"/>
          <w:i/>
          <w:iCs/>
          <w:sz w:val="24"/>
          <w:szCs w:val="24"/>
          <w:lang w:val="en-GB"/>
        </w:rPr>
        <w:t>Journal of European Public Policy</w:t>
      </w:r>
      <w:r w:rsidRPr="00050DEF">
        <w:rPr>
          <w:rFonts w:ascii="Times New Roman" w:hAnsi="Times New Roman" w:cs="Times New Roman"/>
          <w:sz w:val="24"/>
          <w:szCs w:val="24"/>
          <w:lang w:val="en-GB"/>
        </w:rPr>
        <w:t xml:space="preserve"> 22</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7</w:t>
      </w:r>
      <w:r w:rsidR="002E5572">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1022</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39.</w:t>
      </w:r>
    </w:p>
    <w:p w14:paraId="6F0E6539" w14:textId="0752703B"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Binderkrantz, A</w:t>
      </w:r>
      <w:r w:rsidR="002E5572">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Christiansen, </w:t>
      </w:r>
      <w:r w:rsidR="002E5572">
        <w:rPr>
          <w:rFonts w:ascii="Times New Roman" w:hAnsi="Times New Roman" w:cs="Times New Roman"/>
          <w:sz w:val="24"/>
          <w:szCs w:val="24"/>
          <w:lang w:val="en-GB"/>
        </w:rPr>
        <w:t xml:space="preserve">P., </w:t>
      </w:r>
      <w:r w:rsidRPr="00050DEF">
        <w:rPr>
          <w:rFonts w:ascii="Times New Roman" w:hAnsi="Times New Roman" w:cs="Times New Roman"/>
          <w:sz w:val="24"/>
          <w:szCs w:val="24"/>
          <w:lang w:val="en-GB"/>
        </w:rPr>
        <w:t>and Pedersen</w:t>
      </w:r>
      <w:r w:rsidR="002E5572">
        <w:rPr>
          <w:rFonts w:ascii="Times New Roman" w:hAnsi="Times New Roman" w:cs="Times New Roman"/>
          <w:sz w:val="24"/>
          <w:szCs w:val="24"/>
          <w:lang w:val="en-GB"/>
        </w:rPr>
        <w:t>, H.</w:t>
      </w:r>
      <w:r w:rsidRPr="00050DEF">
        <w:rPr>
          <w:rFonts w:ascii="Times New Roman" w:hAnsi="Times New Roman" w:cs="Times New Roman"/>
          <w:sz w:val="24"/>
          <w:szCs w:val="24"/>
          <w:lang w:val="en-GB"/>
        </w:rPr>
        <w:t xml:space="preserve"> (2015) ‘Interest </w:t>
      </w:r>
      <w:r w:rsidR="00FC33A0" w:rsidRPr="00050DEF">
        <w:rPr>
          <w:rFonts w:ascii="Times New Roman" w:hAnsi="Times New Roman" w:cs="Times New Roman"/>
          <w:sz w:val="24"/>
          <w:szCs w:val="24"/>
          <w:lang w:val="en-GB"/>
        </w:rPr>
        <w:t>group access to the bureaucracy, parliament, and the med</w:t>
      </w:r>
      <w:r w:rsidRPr="00050DEF">
        <w:rPr>
          <w:rFonts w:ascii="Times New Roman" w:hAnsi="Times New Roman" w:cs="Times New Roman"/>
          <w:sz w:val="24"/>
          <w:szCs w:val="24"/>
          <w:lang w:val="en-GB"/>
        </w:rPr>
        <w:t xml:space="preserve">ia’, </w:t>
      </w:r>
      <w:r w:rsidRPr="00050DEF">
        <w:rPr>
          <w:rFonts w:ascii="Times New Roman" w:hAnsi="Times New Roman" w:cs="Times New Roman"/>
          <w:i/>
          <w:iCs/>
          <w:sz w:val="24"/>
          <w:szCs w:val="24"/>
          <w:lang w:val="en-GB"/>
        </w:rPr>
        <w:t>Governance</w:t>
      </w:r>
      <w:r w:rsidRPr="00050DEF">
        <w:rPr>
          <w:rFonts w:ascii="Times New Roman" w:hAnsi="Times New Roman" w:cs="Times New Roman"/>
          <w:sz w:val="24"/>
          <w:szCs w:val="24"/>
          <w:lang w:val="en-GB"/>
        </w:rPr>
        <w:t xml:space="preserve"> 28</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1</w:t>
      </w:r>
      <w:r w:rsidR="002E5572">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95</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112.</w:t>
      </w:r>
    </w:p>
    <w:p w14:paraId="4EAE55CF" w14:textId="6C86D6A1" w:rsidR="00357C2A" w:rsidRPr="00050DEF" w:rsidRDefault="00357C2A"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Boumans, J</w:t>
      </w:r>
      <w:r w:rsidR="00F93D4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(2018) ‘Subsidizing </w:t>
      </w:r>
      <w:r w:rsidR="00FC33A0" w:rsidRPr="00050DEF">
        <w:rPr>
          <w:rFonts w:ascii="Times New Roman" w:hAnsi="Times New Roman" w:cs="Times New Roman"/>
          <w:sz w:val="24"/>
          <w:szCs w:val="24"/>
          <w:lang w:val="en-GB"/>
        </w:rPr>
        <w:t>the n</w:t>
      </w:r>
      <w:r w:rsidRPr="00050DEF">
        <w:rPr>
          <w:rFonts w:ascii="Times New Roman" w:hAnsi="Times New Roman" w:cs="Times New Roman"/>
          <w:sz w:val="24"/>
          <w:szCs w:val="24"/>
          <w:lang w:val="en-GB"/>
        </w:rPr>
        <w:t xml:space="preserve">ews?’, </w:t>
      </w:r>
      <w:r w:rsidRPr="00050DEF">
        <w:rPr>
          <w:rFonts w:ascii="Times New Roman" w:hAnsi="Times New Roman" w:cs="Times New Roman"/>
          <w:i/>
          <w:iCs/>
          <w:sz w:val="24"/>
          <w:szCs w:val="24"/>
          <w:lang w:val="en-GB"/>
        </w:rPr>
        <w:t>Journalism Studies</w:t>
      </w:r>
      <w:r w:rsidRPr="00050DEF">
        <w:rPr>
          <w:rFonts w:ascii="Times New Roman" w:hAnsi="Times New Roman" w:cs="Times New Roman"/>
          <w:sz w:val="24"/>
          <w:szCs w:val="24"/>
          <w:lang w:val="en-GB"/>
        </w:rPr>
        <w:t xml:space="preserve"> 19</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15</w:t>
      </w:r>
      <w:r w:rsidR="00F93D4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2264</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82.</w:t>
      </w:r>
    </w:p>
    <w:p w14:paraId="111ECF8D" w14:textId="775D90DE" w:rsidR="001132EB" w:rsidRPr="00CF14F1" w:rsidRDefault="00B16F08" w:rsidP="00411DAC">
      <w:pPr>
        <w:pStyle w:val="Bibliografi"/>
        <w:spacing w:line="480" w:lineRule="auto"/>
        <w:rPr>
          <w:rFonts w:ascii="Times New Roman" w:hAnsi="Times New Roman" w:cs="Times New Roman"/>
          <w:sz w:val="24"/>
          <w:szCs w:val="24"/>
          <w:lang w:val="en-US"/>
        </w:rPr>
      </w:pPr>
      <w:r w:rsidRPr="00050DEF">
        <w:rPr>
          <w:rFonts w:ascii="Times New Roman" w:hAnsi="Times New Roman" w:cs="Times New Roman"/>
          <w:sz w:val="24"/>
          <w:szCs w:val="24"/>
          <w:lang w:val="en-GB"/>
        </w:rPr>
        <w:t>Brand, D</w:t>
      </w:r>
      <w:r w:rsidR="0084698B">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et al. </w:t>
      </w:r>
      <w:r w:rsidR="001132EB" w:rsidRPr="00050DEF">
        <w:rPr>
          <w:rFonts w:ascii="Times New Roman" w:hAnsi="Times New Roman" w:cs="Times New Roman"/>
          <w:sz w:val="24"/>
          <w:szCs w:val="24"/>
          <w:lang w:val="en-GB"/>
        </w:rPr>
        <w:t xml:space="preserve">(2007) ‘Comparative </w:t>
      </w:r>
      <w:r w:rsidR="00FC33A0" w:rsidRPr="00050DEF">
        <w:rPr>
          <w:rFonts w:ascii="Times New Roman" w:hAnsi="Times New Roman" w:cs="Times New Roman"/>
          <w:sz w:val="24"/>
          <w:szCs w:val="24"/>
          <w:lang w:val="en-GB"/>
        </w:rPr>
        <w:t>analysis of alcohol control policies in 30 countries’</w:t>
      </w:r>
      <w:r w:rsidR="001132EB" w:rsidRPr="00050DEF">
        <w:rPr>
          <w:rFonts w:ascii="Times New Roman" w:hAnsi="Times New Roman" w:cs="Times New Roman"/>
          <w:sz w:val="24"/>
          <w:szCs w:val="24"/>
          <w:lang w:val="en-GB"/>
        </w:rPr>
        <w:t xml:space="preserve">, </w:t>
      </w:r>
      <w:r w:rsidR="001132EB" w:rsidRPr="00050DEF">
        <w:rPr>
          <w:rFonts w:ascii="Times New Roman" w:hAnsi="Times New Roman" w:cs="Times New Roman"/>
          <w:i/>
          <w:iCs/>
          <w:sz w:val="24"/>
          <w:szCs w:val="24"/>
          <w:lang w:val="en-GB"/>
        </w:rPr>
        <w:t>PLOS Medicine</w:t>
      </w:r>
      <w:r w:rsidR="00EC2582" w:rsidRPr="00050DEF">
        <w:rPr>
          <w:rFonts w:ascii="Times New Roman" w:hAnsi="Times New Roman" w:cs="Times New Roman"/>
          <w:sz w:val="24"/>
          <w:szCs w:val="24"/>
          <w:lang w:val="en-GB"/>
        </w:rPr>
        <w:t xml:space="preserve"> 4</w:t>
      </w:r>
      <w:r w:rsidR="00CF14F1">
        <w:rPr>
          <w:rFonts w:ascii="Times New Roman" w:hAnsi="Times New Roman" w:cs="Times New Roman"/>
          <w:sz w:val="24"/>
          <w:szCs w:val="24"/>
          <w:lang w:val="en-GB"/>
        </w:rPr>
        <w:t>.</w:t>
      </w:r>
      <w:r w:rsidR="00EC2582" w:rsidRPr="00050DEF">
        <w:rPr>
          <w:rFonts w:ascii="Times New Roman" w:hAnsi="Times New Roman" w:cs="Times New Roman"/>
          <w:sz w:val="24"/>
          <w:szCs w:val="24"/>
          <w:lang w:val="en-GB"/>
        </w:rPr>
        <w:t>4</w:t>
      </w:r>
      <w:r w:rsidR="00CF14F1">
        <w:rPr>
          <w:rFonts w:ascii="Times New Roman" w:hAnsi="Times New Roman" w:cs="Times New Roman"/>
          <w:sz w:val="24"/>
          <w:szCs w:val="24"/>
          <w:lang w:val="en-GB"/>
        </w:rPr>
        <w:t>:</w:t>
      </w:r>
      <w:r w:rsidR="00CF14F1" w:rsidRPr="00CF14F1">
        <w:rPr>
          <w:rFonts w:ascii="Helvetica" w:hAnsi="Helvetica" w:cs="Helvetica"/>
          <w:color w:val="202020"/>
          <w:sz w:val="20"/>
          <w:szCs w:val="20"/>
          <w:shd w:val="clear" w:color="auto" w:fill="FFFFFF"/>
          <w:lang w:val="en-US"/>
        </w:rPr>
        <w:t xml:space="preserve"> </w:t>
      </w:r>
      <w:r w:rsidR="00CF14F1" w:rsidRPr="00CF14F1">
        <w:rPr>
          <w:rFonts w:ascii="Times New Roman" w:hAnsi="Times New Roman" w:cs="Times New Roman"/>
          <w:color w:val="202020"/>
          <w:sz w:val="24"/>
          <w:szCs w:val="24"/>
          <w:shd w:val="clear" w:color="auto" w:fill="FFFFFF"/>
          <w:lang w:val="en-US"/>
        </w:rPr>
        <w:t>e151. https://doi.org/10.1371/journal.pmed.0040151</w:t>
      </w:r>
    </w:p>
    <w:p w14:paraId="1F265618" w14:textId="081660F7" w:rsidR="001F12F6" w:rsidRPr="00050DEF" w:rsidRDefault="001F12F6" w:rsidP="00411DAC">
      <w:pPr>
        <w:pStyle w:val="Almindeligtekst"/>
        <w:spacing w:line="480" w:lineRule="auto"/>
        <w:ind w:left="709" w:hanging="709"/>
        <w:rPr>
          <w:rFonts w:ascii="Times New Roman" w:hAnsi="Times New Roman" w:cs="Times New Roman"/>
          <w:sz w:val="24"/>
          <w:szCs w:val="24"/>
          <w:lang w:val="en-GB"/>
        </w:rPr>
      </w:pPr>
      <w:r w:rsidRPr="00050DEF">
        <w:rPr>
          <w:rFonts w:ascii="Times New Roman" w:hAnsi="Times New Roman" w:cs="Times New Roman"/>
          <w:sz w:val="24"/>
          <w:szCs w:val="24"/>
          <w:lang w:val="en-GB"/>
        </w:rPr>
        <w:t>Bruycker, I</w:t>
      </w:r>
      <w:r w:rsidR="0084698B">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De (2019) </w:t>
      </w:r>
      <w:r w:rsidR="00264CBD"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Blessing or curse for advocacy?</w:t>
      </w:r>
      <w:r w:rsidR="00264CBD"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Pr="00050DEF">
        <w:rPr>
          <w:rFonts w:ascii="Times New Roman" w:hAnsi="Times New Roman" w:cs="Times New Roman"/>
          <w:i/>
          <w:sz w:val="24"/>
          <w:szCs w:val="24"/>
          <w:lang w:val="en-GB"/>
        </w:rPr>
        <w:t>Political Communication</w:t>
      </w:r>
      <w:r w:rsidRPr="00050DEF">
        <w:rPr>
          <w:rFonts w:ascii="Times New Roman" w:hAnsi="Times New Roman" w:cs="Times New Roman"/>
          <w:sz w:val="24"/>
          <w:szCs w:val="24"/>
          <w:lang w:val="en-GB"/>
        </w:rPr>
        <w:t xml:space="preserve"> 36(1)</w:t>
      </w:r>
      <w:r w:rsidR="00876D5D">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103</w:t>
      </w:r>
      <w:r w:rsidR="00F93D47"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26.</w:t>
      </w:r>
    </w:p>
    <w:p w14:paraId="1CC1A5C5" w14:textId="32DC78AF" w:rsidR="000B72EF" w:rsidRPr="00050DEF" w:rsidRDefault="000B72EF"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Butler, S</w:t>
      </w:r>
      <w:r w:rsidR="0034078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Elmeland, </w:t>
      </w:r>
      <w:r w:rsidR="00340786">
        <w:rPr>
          <w:rFonts w:ascii="Times New Roman" w:hAnsi="Times New Roman" w:cs="Times New Roman"/>
          <w:sz w:val="24"/>
          <w:szCs w:val="24"/>
          <w:lang w:val="en-GB"/>
        </w:rPr>
        <w:t xml:space="preserve">K. </w:t>
      </w:r>
      <w:r w:rsidRPr="00050DEF">
        <w:rPr>
          <w:rFonts w:ascii="Times New Roman" w:hAnsi="Times New Roman" w:cs="Times New Roman"/>
          <w:sz w:val="24"/>
          <w:szCs w:val="24"/>
          <w:lang w:val="en-GB"/>
        </w:rPr>
        <w:t xml:space="preserve">Thom, </w:t>
      </w:r>
      <w:r w:rsidR="00340786">
        <w:rPr>
          <w:rFonts w:ascii="Times New Roman" w:hAnsi="Times New Roman" w:cs="Times New Roman"/>
          <w:sz w:val="24"/>
          <w:szCs w:val="24"/>
          <w:lang w:val="en-GB"/>
        </w:rPr>
        <w:t xml:space="preserve">B., </w:t>
      </w:r>
      <w:r w:rsidRPr="00050DEF">
        <w:rPr>
          <w:rFonts w:ascii="Times New Roman" w:hAnsi="Times New Roman" w:cs="Times New Roman"/>
          <w:sz w:val="24"/>
          <w:szCs w:val="24"/>
          <w:lang w:val="en-GB"/>
        </w:rPr>
        <w:t>and Nicholls</w:t>
      </w:r>
      <w:r w:rsidR="00340786">
        <w:rPr>
          <w:rFonts w:ascii="Times New Roman" w:hAnsi="Times New Roman" w:cs="Times New Roman"/>
          <w:sz w:val="24"/>
          <w:szCs w:val="24"/>
          <w:lang w:val="en-GB"/>
        </w:rPr>
        <w:t>, J.</w:t>
      </w:r>
      <w:r w:rsidRPr="00050DEF">
        <w:rPr>
          <w:rFonts w:ascii="Times New Roman" w:hAnsi="Times New Roman" w:cs="Times New Roman"/>
          <w:sz w:val="24"/>
          <w:szCs w:val="24"/>
          <w:lang w:val="en-GB"/>
        </w:rPr>
        <w:t xml:space="preserve"> (2017) </w:t>
      </w:r>
      <w:r w:rsidRPr="00050DEF">
        <w:rPr>
          <w:rFonts w:ascii="Times New Roman" w:hAnsi="Times New Roman" w:cs="Times New Roman"/>
          <w:i/>
          <w:iCs/>
          <w:sz w:val="24"/>
          <w:szCs w:val="24"/>
          <w:lang w:val="en-GB"/>
        </w:rPr>
        <w:t>Alcohol, Power and Public Health: A Comparative Study of Alcohol Policy</w:t>
      </w:r>
      <w:r w:rsidRPr="00050DEF">
        <w:rPr>
          <w:rFonts w:ascii="Times New Roman" w:hAnsi="Times New Roman" w:cs="Times New Roman"/>
          <w:sz w:val="24"/>
          <w:szCs w:val="24"/>
          <w:lang w:val="en-GB"/>
        </w:rPr>
        <w:t>. London</w:t>
      </w:r>
      <w:r w:rsidR="00FC341F" w:rsidRPr="00050DEF">
        <w:rPr>
          <w:rFonts w:ascii="Times New Roman" w:hAnsi="Times New Roman" w:cs="Times New Roman"/>
          <w:sz w:val="24"/>
          <w:szCs w:val="24"/>
          <w:lang w:val="en-GB"/>
        </w:rPr>
        <w:t xml:space="preserve">: </w:t>
      </w:r>
      <w:r w:rsidRPr="00050DEF">
        <w:rPr>
          <w:rFonts w:ascii="Times New Roman" w:hAnsi="Times New Roman" w:cs="Times New Roman"/>
          <w:sz w:val="24"/>
          <w:szCs w:val="24"/>
          <w:lang w:val="en-GB"/>
        </w:rPr>
        <w:t>Routledge.</w:t>
      </w:r>
    </w:p>
    <w:p w14:paraId="67572FE5" w14:textId="1F1B171C" w:rsidR="009473C7" w:rsidRPr="00050DEF" w:rsidRDefault="009473C7"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Daviter, F</w:t>
      </w:r>
      <w:r w:rsidR="00C41B23">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(2009) ‘Schattschneider in Brussels: </w:t>
      </w:r>
      <w:r w:rsidR="00A46E9C">
        <w:rPr>
          <w:rFonts w:ascii="Times New Roman" w:hAnsi="Times New Roman" w:cs="Times New Roman"/>
          <w:sz w:val="24"/>
          <w:szCs w:val="24"/>
          <w:lang w:val="en-GB"/>
        </w:rPr>
        <w:t>h</w:t>
      </w:r>
      <w:r w:rsidRPr="00050DEF">
        <w:rPr>
          <w:rFonts w:ascii="Times New Roman" w:hAnsi="Times New Roman" w:cs="Times New Roman"/>
          <w:sz w:val="24"/>
          <w:szCs w:val="24"/>
          <w:lang w:val="en-GB"/>
        </w:rPr>
        <w:t xml:space="preserve">ow </w:t>
      </w:r>
      <w:r w:rsidR="00FC33A0" w:rsidRPr="00050DEF">
        <w:rPr>
          <w:rFonts w:ascii="Times New Roman" w:hAnsi="Times New Roman" w:cs="Times New Roman"/>
          <w:sz w:val="24"/>
          <w:szCs w:val="24"/>
          <w:lang w:val="en-GB"/>
        </w:rPr>
        <w:t>policy conflict reshaped the biotechnology agenda in t</w:t>
      </w:r>
      <w:r w:rsidRPr="00050DEF">
        <w:rPr>
          <w:rFonts w:ascii="Times New Roman" w:hAnsi="Times New Roman" w:cs="Times New Roman"/>
          <w:sz w:val="24"/>
          <w:szCs w:val="24"/>
          <w:lang w:val="en-GB"/>
        </w:rPr>
        <w:t xml:space="preserve">he European Union’, </w:t>
      </w:r>
      <w:r w:rsidRPr="00050DEF">
        <w:rPr>
          <w:rFonts w:ascii="Times New Roman" w:hAnsi="Times New Roman" w:cs="Times New Roman"/>
          <w:i/>
          <w:iCs/>
          <w:sz w:val="24"/>
          <w:szCs w:val="24"/>
          <w:lang w:val="en-GB"/>
        </w:rPr>
        <w:t>West European Politics</w:t>
      </w:r>
      <w:r w:rsidRPr="00050DEF">
        <w:rPr>
          <w:rFonts w:ascii="Times New Roman" w:hAnsi="Times New Roman" w:cs="Times New Roman"/>
          <w:sz w:val="24"/>
          <w:szCs w:val="24"/>
          <w:lang w:val="en-GB"/>
        </w:rPr>
        <w:t xml:space="preserve"> 32</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6</w:t>
      </w:r>
      <w:r w:rsidR="00C41B23">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1118</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39.</w:t>
      </w:r>
    </w:p>
    <w:p w14:paraId="0F65D750" w14:textId="0E35CFED" w:rsidR="00A029C4"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Entman, R</w:t>
      </w:r>
      <w:r w:rsidR="003316A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(1993) ‘Framing: </w:t>
      </w:r>
      <w:r w:rsidR="00FC33A0" w:rsidRPr="00050DEF">
        <w:rPr>
          <w:rFonts w:ascii="Times New Roman" w:hAnsi="Times New Roman" w:cs="Times New Roman"/>
          <w:sz w:val="24"/>
          <w:szCs w:val="24"/>
          <w:lang w:val="en-GB"/>
        </w:rPr>
        <w:t>toward clarification of a fractured paradigm’</w:t>
      </w:r>
      <w:r w:rsidRPr="00050DEF">
        <w:rPr>
          <w:rFonts w:ascii="Times New Roman" w:hAnsi="Times New Roman" w:cs="Times New Roman"/>
          <w:sz w:val="24"/>
          <w:szCs w:val="24"/>
          <w:lang w:val="en-GB"/>
        </w:rPr>
        <w:t xml:space="preserve">, </w:t>
      </w:r>
      <w:r w:rsidRPr="00050DEF">
        <w:rPr>
          <w:rFonts w:ascii="Times New Roman" w:hAnsi="Times New Roman" w:cs="Times New Roman"/>
          <w:i/>
          <w:iCs/>
          <w:sz w:val="24"/>
          <w:szCs w:val="24"/>
          <w:lang w:val="en-GB"/>
        </w:rPr>
        <w:t>Journal of Communication</w:t>
      </w:r>
      <w:r w:rsidRPr="00050DEF">
        <w:rPr>
          <w:rFonts w:ascii="Times New Roman" w:hAnsi="Times New Roman" w:cs="Times New Roman"/>
          <w:sz w:val="24"/>
          <w:szCs w:val="24"/>
          <w:lang w:val="en-GB"/>
        </w:rPr>
        <w:t xml:space="preserve"> 43</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4</w:t>
      </w:r>
      <w:r w:rsidR="003316A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51</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58.</w:t>
      </w:r>
    </w:p>
    <w:p w14:paraId="5101CADD" w14:textId="1AA1E2B2" w:rsidR="00A029C4" w:rsidRPr="00050DEF" w:rsidRDefault="00A029C4"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Euchner, E</w:t>
      </w:r>
      <w:r w:rsidR="003316A6">
        <w:rPr>
          <w:rFonts w:ascii="Times New Roman" w:hAnsi="Times New Roman" w:cs="Times New Roman"/>
          <w:sz w:val="24"/>
          <w:szCs w:val="24"/>
          <w:lang w:val="en-GB"/>
        </w:rPr>
        <w:t>.</w:t>
      </w:r>
      <w:r w:rsidRPr="00050DEF">
        <w:rPr>
          <w:rFonts w:ascii="Times New Roman" w:hAnsi="Times New Roman" w:cs="Times New Roman"/>
          <w:sz w:val="24"/>
          <w:szCs w:val="24"/>
          <w:lang w:val="en-GB"/>
        </w:rPr>
        <w:t>-M</w:t>
      </w:r>
      <w:r w:rsidR="003316A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Heichel, </w:t>
      </w:r>
      <w:r w:rsidR="003316A6">
        <w:rPr>
          <w:rFonts w:ascii="Times New Roman" w:hAnsi="Times New Roman" w:cs="Times New Roman"/>
          <w:sz w:val="24"/>
          <w:szCs w:val="24"/>
          <w:lang w:val="en-GB"/>
        </w:rPr>
        <w:t xml:space="preserve">S. </w:t>
      </w:r>
      <w:r w:rsidRPr="00050DEF">
        <w:rPr>
          <w:rFonts w:ascii="Times New Roman" w:hAnsi="Times New Roman" w:cs="Times New Roman"/>
          <w:sz w:val="24"/>
          <w:szCs w:val="24"/>
          <w:lang w:val="en-GB"/>
        </w:rPr>
        <w:t xml:space="preserve">Nebel, </w:t>
      </w:r>
      <w:r w:rsidR="003316A6">
        <w:rPr>
          <w:rFonts w:ascii="Times New Roman" w:hAnsi="Times New Roman" w:cs="Times New Roman"/>
          <w:sz w:val="24"/>
          <w:szCs w:val="24"/>
          <w:lang w:val="en-GB"/>
        </w:rPr>
        <w:t xml:space="preserve">K., </w:t>
      </w:r>
      <w:r w:rsidRPr="00050DEF">
        <w:rPr>
          <w:rFonts w:ascii="Times New Roman" w:hAnsi="Times New Roman" w:cs="Times New Roman"/>
          <w:sz w:val="24"/>
          <w:szCs w:val="24"/>
          <w:lang w:val="en-GB"/>
        </w:rPr>
        <w:t>and Raschzok</w:t>
      </w:r>
      <w:r w:rsidR="003316A6">
        <w:rPr>
          <w:rFonts w:ascii="Times New Roman" w:hAnsi="Times New Roman" w:cs="Times New Roman"/>
          <w:sz w:val="24"/>
          <w:szCs w:val="24"/>
          <w:lang w:val="en-GB"/>
        </w:rPr>
        <w:t>, A.</w:t>
      </w:r>
      <w:r w:rsidRPr="00050DEF">
        <w:rPr>
          <w:rFonts w:ascii="Times New Roman" w:hAnsi="Times New Roman" w:cs="Times New Roman"/>
          <w:sz w:val="24"/>
          <w:szCs w:val="24"/>
          <w:lang w:val="en-GB"/>
        </w:rPr>
        <w:t xml:space="preserve"> (2013) ‘From “mora</w:t>
      </w:r>
      <w:r w:rsidR="00264CBD" w:rsidRPr="00050DEF">
        <w:rPr>
          <w:rFonts w:ascii="Times New Roman" w:hAnsi="Times New Roman" w:cs="Times New Roman"/>
          <w:sz w:val="24"/>
          <w:szCs w:val="24"/>
          <w:lang w:val="en-GB"/>
        </w:rPr>
        <w:t>lity” policy to “normal” policy</w:t>
      </w:r>
      <w:r w:rsidRPr="00050DEF">
        <w:rPr>
          <w:rFonts w:ascii="Times New Roman" w:hAnsi="Times New Roman" w:cs="Times New Roman"/>
          <w:sz w:val="24"/>
          <w:szCs w:val="24"/>
          <w:lang w:val="en-GB"/>
        </w:rPr>
        <w:t xml:space="preserve">’, </w:t>
      </w:r>
      <w:r w:rsidRPr="00050DEF">
        <w:rPr>
          <w:rFonts w:ascii="Times New Roman" w:hAnsi="Times New Roman" w:cs="Times New Roman"/>
          <w:i/>
          <w:iCs/>
          <w:sz w:val="24"/>
          <w:szCs w:val="24"/>
          <w:lang w:val="en-GB"/>
        </w:rPr>
        <w:t>Journal of European Public Policy</w:t>
      </w:r>
      <w:r w:rsidRPr="00050DEF">
        <w:rPr>
          <w:rFonts w:ascii="Times New Roman" w:hAnsi="Times New Roman" w:cs="Times New Roman"/>
          <w:sz w:val="24"/>
          <w:szCs w:val="24"/>
          <w:lang w:val="en-GB"/>
        </w:rPr>
        <w:t xml:space="preserve"> 20</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3316A6">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372</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89.</w:t>
      </w:r>
    </w:p>
    <w:p w14:paraId="4CD05FF8" w14:textId="7F2C6619" w:rsidR="001132EB" w:rsidRPr="00050DEF" w:rsidRDefault="001132EB" w:rsidP="00411DAC">
      <w:pPr>
        <w:pStyle w:val="Bibliografi"/>
        <w:spacing w:line="480" w:lineRule="auto"/>
        <w:rPr>
          <w:rFonts w:ascii="Times New Roman" w:hAnsi="Times New Roman" w:cs="Times New Roman"/>
          <w:sz w:val="24"/>
          <w:szCs w:val="24"/>
          <w:lang w:val="en-GB"/>
        </w:rPr>
      </w:pPr>
      <w:r w:rsidRPr="00E924E9">
        <w:rPr>
          <w:rFonts w:ascii="Times New Roman" w:hAnsi="Times New Roman" w:cs="Times New Roman"/>
          <w:sz w:val="24"/>
          <w:szCs w:val="24"/>
          <w:lang w:val="en-US"/>
        </w:rPr>
        <w:t>Fisker, H</w:t>
      </w:r>
      <w:r w:rsidR="000B60B9">
        <w:rPr>
          <w:rFonts w:ascii="Times New Roman" w:hAnsi="Times New Roman" w:cs="Times New Roman"/>
          <w:sz w:val="24"/>
          <w:szCs w:val="24"/>
          <w:lang w:val="en-US"/>
        </w:rPr>
        <w:t>.</w:t>
      </w:r>
      <w:r w:rsidRPr="00E924E9">
        <w:rPr>
          <w:rFonts w:ascii="Times New Roman" w:hAnsi="Times New Roman" w:cs="Times New Roman"/>
          <w:sz w:val="24"/>
          <w:szCs w:val="24"/>
          <w:lang w:val="en-US"/>
        </w:rPr>
        <w:t xml:space="preserve"> (2015) ‘Dead or </w:t>
      </w:r>
      <w:r w:rsidR="00FC33A0" w:rsidRPr="00E924E9">
        <w:rPr>
          <w:rFonts w:ascii="Times New Roman" w:hAnsi="Times New Roman" w:cs="Times New Roman"/>
          <w:sz w:val="24"/>
          <w:szCs w:val="24"/>
          <w:lang w:val="en-US"/>
        </w:rPr>
        <w:t>al</w:t>
      </w:r>
      <w:r w:rsidRPr="00E924E9">
        <w:rPr>
          <w:rFonts w:ascii="Times New Roman" w:hAnsi="Times New Roman" w:cs="Times New Roman"/>
          <w:sz w:val="24"/>
          <w:szCs w:val="24"/>
          <w:lang w:val="en-US"/>
        </w:rPr>
        <w:t xml:space="preserve">ive? </w:t>
      </w:r>
      <w:r w:rsidRPr="00050DEF">
        <w:rPr>
          <w:rFonts w:ascii="Times New Roman" w:hAnsi="Times New Roman" w:cs="Times New Roman"/>
          <w:sz w:val="24"/>
          <w:szCs w:val="24"/>
          <w:lang w:val="en-GB"/>
        </w:rPr>
        <w:t xml:space="preserve">Explaining the </w:t>
      </w:r>
      <w:r w:rsidR="00FC33A0" w:rsidRPr="00050DEF">
        <w:rPr>
          <w:rFonts w:ascii="Times New Roman" w:hAnsi="Times New Roman" w:cs="Times New Roman"/>
          <w:sz w:val="24"/>
          <w:szCs w:val="24"/>
          <w:lang w:val="en-GB"/>
        </w:rPr>
        <w:t>long-term survival chances of interest grou</w:t>
      </w:r>
      <w:r w:rsidRPr="00050DEF">
        <w:rPr>
          <w:rFonts w:ascii="Times New Roman" w:hAnsi="Times New Roman" w:cs="Times New Roman"/>
          <w:sz w:val="24"/>
          <w:szCs w:val="24"/>
          <w:lang w:val="en-GB"/>
        </w:rPr>
        <w:t xml:space="preserve">ps’, </w:t>
      </w:r>
      <w:r w:rsidRPr="00050DEF">
        <w:rPr>
          <w:rFonts w:ascii="Times New Roman" w:hAnsi="Times New Roman" w:cs="Times New Roman"/>
          <w:i/>
          <w:iCs/>
          <w:sz w:val="24"/>
          <w:szCs w:val="24"/>
          <w:lang w:val="en-GB"/>
        </w:rPr>
        <w:t>West European Politics</w:t>
      </w:r>
      <w:r w:rsidRPr="00050DEF">
        <w:rPr>
          <w:rFonts w:ascii="Times New Roman" w:hAnsi="Times New Roman" w:cs="Times New Roman"/>
          <w:sz w:val="24"/>
          <w:szCs w:val="24"/>
          <w:lang w:val="en-GB"/>
        </w:rPr>
        <w:t xml:space="preserve"> 38</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0B60B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709</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29.</w:t>
      </w:r>
    </w:p>
    <w:p w14:paraId="70FE8535" w14:textId="6D46097D"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Hall, P</w:t>
      </w:r>
      <w:r w:rsidR="000B60B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(1993) ‘Policy </w:t>
      </w:r>
      <w:r w:rsidR="00FC33A0" w:rsidRPr="00050DEF">
        <w:rPr>
          <w:rFonts w:ascii="Times New Roman" w:hAnsi="Times New Roman" w:cs="Times New Roman"/>
          <w:sz w:val="24"/>
          <w:szCs w:val="24"/>
          <w:lang w:val="en-GB"/>
        </w:rPr>
        <w:t>paradigms, social learning, and the state</w:t>
      </w:r>
      <w:r w:rsidRPr="00050DEF">
        <w:rPr>
          <w:rFonts w:ascii="Times New Roman" w:hAnsi="Times New Roman" w:cs="Times New Roman"/>
          <w:sz w:val="24"/>
          <w:szCs w:val="24"/>
          <w:lang w:val="en-GB"/>
        </w:rPr>
        <w:t xml:space="preserve">: </w:t>
      </w:r>
      <w:r w:rsidR="00FC33A0" w:rsidRPr="00050DEF">
        <w:rPr>
          <w:rFonts w:ascii="Times New Roman" w:hAnsi="Times New Roman" w:cs="Times New Roman"/>
          <w:sz w:val="24"/>
          <w:szCs w:val="24"/>
          <w:lang w:val="en-GB"/>
        </w:rPr>
        <w:t>t</w:t>
      </w:r>
      <w:r w:rsidRPr="00050DEF">
        <w:rPr>
          <w:rFonts w:ascii="Times New Roman" w:hAnsi="Times New Roman" w:cs="Times New Roman"/>
          <w:sz w:val="24"/>
          <w:szCs w:val="24"/>
          <w:lang w:val="en-GB"/>
        </w:rPr>
        <w:t xml:space="preserve">he </w:t>
      </w:r>
      <w:r w:rsidR="00FC33A0" w:rsidRPr="00050DEF">
        <w:rPr>
          <w:rFonts w:ascii="Times New Roman" w:hAnsi="Times New Roman" w:cs="Times New Roman"/>
          <w:sz w:val="24"/>
          <w:szCs w:val="24"/>
          <w:lang w:val="en-GB"/>
        </w:rPr>
        <w:t>case of economic polic</w:t>
      </w:r>
      <w:r w:rsidRPr="00050DEF">
        <w:rPr>
          <w:rFonts w:ascii="Times New Roman" w:hAnsi="Times New Roman" w:cs="Times New Roman"/>
          <w:sz w:val="24"/>
          <w:szCs w:val="24"/>
          <w:lang w:val="en-GB"/>
        </w:rPr>
        <w:t xml:space="preserve">ymaking in Britain’, </w:t>
      </w:r>
      <w:r w:rsidRPr="00050DEF">
        <w:rPr>
          <w:rFonts w:ascii="Times New Roman" w:hAnsi="Times New Roman" w:cs="Times New Roman"/>
          <w:i/>
          <w:iCs/>
          <w:sz w:val="24"/>
          <w:szCs w:val="24"/>
          <w:lang w:val="en-GB"/>
        </w:rPr>
        <w:t>Comparative Politics</w:t>
      </w:r>
      <w:r w:rsidRPr="00050DEF">
        <w:rPr>
          <w:rFonts w:ascii="Times New Roman" w:hAnsi="Times New Roman" w:cs="Times New Roman"/>
          <w:sz w:val="24"/>
          <w:szCs w:val="24"/>
          <w:lang w:val="en-GB"/>
        </w:rPr>
        <w:t xml:space="preserve"> 25</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0B60B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275</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96.</w:t>
      </w:r>
    </w:p>
    <w:p w14:paraId="66486E1D" w14:textId="79B7F659"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King,</w:t>
      </w:r>
      <w:r w:rsidR="00EC2582" w:rsidRPr="00050DEF">
        <w:rPr>
          <w:rFonts w:ascii="Times New Roman" w:hAnsi="Times New Roman" w:cs="Times New Roman"/>
          <w:sz w:val="24"/>
          <w:szCs w:val="24"/>
          <w:lang w:val="en-GB"/>
        </w:rPr>
        <w:t xml:space="preserve"> G</w:t>
      </w:r>
      <w:r w:rsidR="000B60B9">
        <w:rPr>
          <w:rFonts w:ascii="Times New Roman" w:hAnsi="Times New Roman" w:cs="Times New Roman"/>
          <w:sz w:val="24"/>
          <w:szCs w:val="24"/>
          <w:lang w:val="en-GB"/>
        </w:rPr>
        <w:t>.</w:t>
      </w:r>
      <w:r w:rsidR="00EC2582" w:rsidRPr="00050DEF">
        <w:rPr>
          <w:rFonts w:ascii="Times New Roman" w:hAnsi="Times New Roman" w:cs="Times New Roman"/>
          <w:sz w:val="24"/>
          <w:szCs w:val="24"/>
          <w:lang w:val="en-GB"/>
        </w:rPr>
        <w:t>, Robert,</w:t>
      </w:r>
      <w:r w:rsidRPr="00050DEF">
        <w:rPr>
          <w:rFonts w:ascii="Times New Roman" w:hAnsi="Times New Roman" w:cs="Times New Roman"/>
          <w:sz w:val="24"/>
          <w:szCs w:val="24"/>
          <w:lang w:val="en-GB"/>
        </w:rPr>
        <w:t xml:space="preserve"> </w:t>
      </w:r>
      <w:r w:rsidR="000B60B9">
        <w:rPr>
          <w:rFonts w:ascii="Times New Roman" w:hAnsi="Times New Roman" w:cs="Times New Roman"/>
          <w:sz w:val="24"/>
          <w:szCs w:val="24"/>
          <w:lang w:val="en-GB"/>
        </w:rPr>
        <w:t xml:space="preserve">K., </w:t>
      </w:r>
      <w:r w:rsidRPr="00050DEF">
        <w:rPr>
          <w:rFonts w:ascii="Times New Roman" w:hAnsi="Times New Roman" w:cs="Times New Roman"/>
          <w:sz w:val="24"/>
          <w:szCs w:val="24"/>
          <w:lang w:val="en-GB"/>
        </w:rPr>
        <w:t>and Verba</w:t>
      </w:r>
      <w:r w:rsidR="000B60B9">
        <w:rPr>
          <w:rFonts w:ascii="Times New Roman" w:hAnsi="Times New Roman" w:cs="Times New Roman"/>
          <w:sz w:val="24"/>
          <w:szCs w:val="24"/>
          <w:lang w:val="en-GB"/>
        </w:rPr>
        <w:t>, S.</w:t>
      </w:r>
      <w:r w:rsidRPr="00050DEF">
        <w:rPr>
          <w:rFonts w:ascii="Times New Roman" w:hAnsi="Times New Roman" w:cs="Times New Roman"/>
          <w:sz w:val="24"/>
          <w:szCs w:val="24"/>
          <w:lang w:val="en-GB"/>
        </w:rPr>
        <w:t xml:space="preserve"> (1994) </w:t>
      </w:r>
      <w:r w:rsidRPr="00050DEF">
        <w:rPr>
          <w:rFonts w:ascii="Times New Roman" w:hAnsi="Times New Roman" w:cs="Times New Roman"/>
          <w:i/>
          <w:iCs/>
          <w:sz w:val="24"/>
          <w:szCs w:val="24"/>
          <w:lang w:val="en-GB"/>
        </w:rPr>
        <w:t xml:space="preserve">Designing </w:t>
      </w:r>
      <w:r w:rsidR="00FC33A0">
        <w:rPr>
          <w:rFonts w:ascii="Times New Roman" w:hAnsi="Times New Roman" w:cs="Times New Roman"/>
          <w:i/>
          <w:iCs/>
          <w:sz w:val="24"/>
          <w:szCs w:val="24"/>
          <w:lang w:val="en-GB"/>
        </w:rPr>
        <w:t>S</w:t>
      </w:r>
      <w:r w:rsidRPr="00050DEF">
        <w:rPr>
          <w:rFonts w:ascii="Times New Roman" w:hAnsi="Times New Roman" w:cs="Times New Roman"/>
          <w:i/>
          <w:iCs/>
          <w:sz w:val="24"/>
          <w:szCs w:val="24"/>
          <w:lang w:val="en-GB"/>
        </w:rPr>
        <w:t xml:space="preserve">ocial </w:t>
      </w:r>
      <w:r w:rsidR="00FC33A0">
        <w:rPr>
          <w:rFonts w:ascii="Times New Roman" w:hAnsi="Times New Roman" w:cs="Times New Roman"/>
          <w:i/>
          <w:iCs/>
          <w:sz w:val="24"/>
          <w:szCs w:val="24"/>
          <w:lang w:val="en-GB"/>
        </w:rPr>
        <w:t>I</w:t>
      </w:r>
      <w:r w:rsidRPr="00050DEF">
        <w:rPr>
          <w:rFonts w:ascii="Times New Roman" w:hAnsi="Times New Roman" w:cs="Times New Roman"/>
          <w:i/>
          <w:iCs/>
          <w:sz w:val="24"/>
          <w:szCs w:val="24"/>
          <w:lang w:val="en-GB"/>
        </w:rPr>
        <w:t>nquiry</w:t>
      </w:r>
      <w:r w:rsidRPr="00050DEF">
        <w:rPr>
          <w:rFonts w:ascii="Times New Roman" w:hAnsi="Times New Roman" w:cs="Times New Roman"/>
          <w:sz w:val="24"/>
          <w:szCs w:val="24"/>
          <w:lang w:val="en-GB"/>
        </w:rPr>
        <w:t>. Princeton: Princeton University Press.</w:t>
      </w:r>
    </w:p>
    <w:p w14:paraId="03B5418E" w14:textId="44878BE3"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Klüver, H</w:t>
      </w:r>
      <w:r w:rsidR="000B60B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Mahoney, </w:t>
      </w:r>
      <w:r w:rsidR="000B60B9">
        <w:rPr>
          <w:rFonts w:ascii="Times New Roman" w:hAnsi="Times New Roman" w:cs="Times New Roman"/>
          <w:sz w:val="24"/>
          <w:szCs w:val="24"/>
          <w:lang w:val="en-GB"/>
        </w:rPr>
        <w:t xml:space="preserve">C., </w:t>
      </w:r>
      <w:r w:rsidRPr="00050DEF">
        <w:rPr>
          <w:rFonts w:ascii="Times New Roman" w:hAnsi="Times New Roman" w:cs="Times New Roman"/>
          <w:sz w:val="24"/>
          <w:szCs w:val="24"/>
          <w:lang w:val="en-GB"/>
        </w:rPr>
        <w:t>and Opper</w:t>
      </w:r>
      <w:r w:rsidR="000B60B9">
        <w:rPr>
          <w:rFonts w:ascii="Times New Roman" w:hAnsi="Times New Roman" w:cs="Times New Roman"/>
          <w:sz w:val="24"/>
          <w:szCs w:val="24"/>
          <w:lang w:val="en-GB"/>
        </w:rPr>
        <w:t>, M.</w:t>
      </w:r>
      <w:r w:rsidRPr="00050DEF">
        <w:rPr>
          <w:rFonts w:ascii="Times New Roman" w:hAnsi="Times New Roman" w:cs="Times New Roman"/>
          <w:sz w:val="24"/>
          <w:szCs w:val="24"/>
          <w:lang w:val="en-GB"/>
        </w:rPr>
        <w:t xml:space="preserve"> (2015) ‘Framing in context: </w:t>
      </w:r>
      <w:r w:rsidR="00FC33A0">
        <w:rPr>
          <w:rFonts w:ascii="Times New Roman" w:hAnsi="Times New Roman" w:cs="Times New Roman"/>
          <w:sz w:val="24"/>
          <w:szCs w:val="24"/>
          <w:lang w:val="en-GB"/>
        </w:rPr>
        <w:t>h</w:t>
      </w:r>
      <w:r w:rsidRPr="00050DEF">
        <w:rPr>
          <w:rFonts w:ascii="Times New Roman" w:hAnsi="Times New Roman" w:cs="Times New Roman"/>
          <w:sz w:val="24"/>
          <w:szCs w:val="24"/>
          <w:lang w:val="en-GB"/>
        </w:rPr>
        <w:t xml:space="preserve">ow interest groups employ framing to lobby the European Commission’, </w:t>
      </w:r>
      <w:r w:rsidRPr="00050DEF">
        <w:rPr>
          <w:rFonts w:ascii="Times New Roman" w:hAnsi="Times New Roman" w:cs="Times New Roman"/>
          <w:i/>
          <w:iCs/>
          <w:sz w:val="24"/>
          <w:szCs w:val="24"/>
          <w:lang w:val="en-GB"/>
        </w:rPr>
        <w:t>Journal of European Public Policy</w:t>
      </w:r>
      <w:r w:rsidRPr="00050DEF">
        <w:rPr>
          <w:rFonts w:ascii="Times New Roman" w:hAnsi="Times New Roman" w:cs="Times New Roman"/>
          <w:sz w:val="24"/>
          <w:szCs w:val="24"/>
          <w:lang w:val="en-GB"/>
        </w:rPr>
        <w:t xml:space="preserve"> 22</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4</w:t>
      </w:r>
      <w:r w:rsidR="000B60B9">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481</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98.</w:t>
      </w:r>
    </w:p>
    <w:p w14:paraId="5BA09118" w14:textId="65FDEC5B"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Mahoney, C</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(2007) ‘Networking vs. allying: the decision of interest groups to join coalitions in the US and the EU’, </w:t>
      </w:r>
      <w:r w:rsidRPr="00050DEF">
        <w:rPr>
          <w:rFonts w:ascii="Times New Roman" w:hAnsi="Times New Roman" w:cs="Times New Roman"/>
          <w:i/>
          <w:iCs/>
          <w:sz w:val="24"/>
          <w:szCs w:val="24"/>
          <w:lang w:val="en-GB"/>
        </w:rPr>
        <w:t>Journal of European Public Policy</w:t>
      </w:r>
      <w:r w:rsidRPr="00050DEF">
        <w:rPr>
          <w:rFonts w:ascii="Times New Roman" w:hAnsi="Times New Roman" w:cs="Times New Roman"/>
          <w:sz w:val="24"/>
          <w:szCs w:val="24"/>
          <w:lang w:val="en-GB"/>
        </w:rPr>
        <w:t xml:space="preserve"> 14</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366</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83.</w:t>
      </w:r>
    </w:p>
    <w:p w14:paraId="39EB1B83" w14:textId="47C03974"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Meguid, B</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(2008) ‘Competition </w:t>
      </w:r>
      <w:r w:rsidR="00A46E9C" w:rsidRPr="00050DEF">
        <w:rPr>
          <w:rFonts w:ascii="Times New Roman" w:hAnsi="Times New Roman" w:cs="Times New Roman"/>
          <w:sz w:val="24"/>
          <w:szCs w:val="24"/>
          <w:lang w:val="en-GB"/>
        </w:rPr>
        <w:t>between unequals</w:t>
      </w:r>
      <w:r w:rsidRPr="00050DEF">
        <w:rPr>
          <w:rFonts w:ascii="Times New Roman" w:hAnsi="Times New Roman" w:cs="Times New Roman"/>
          <w:sz w:val="24"/>
          <w:szCs w:val="24"/>
          <w:lang w:val="en-GB"/>
        </w:rPr>
        <w:t xml:space="preserve">: </w:t>
      </w:r>
      <w:r w:rsidR="00A46E9C" w:rsidRPr="00050DEF">
        <w:rPr>
          <w:rFonts w:ascii="Times New Roman" w:hAnsi="Times New Roman" w:cs="Times New Roman"/>
          <w:sz w:val="24"/>
          <w:szCs w:val="24"/>
          <w:lang w:val="en-GB"/>
        </w:rPr>
        <w:t>the role of mainstream party strategy in niche party succ</w:t>
      </w:r>
      <w:r w:rsidRPr="00050DEF">
        <w:rPr>
          <w:rFonts w:ascii="Times New Roman" w:hAnsi="Times New Roman" w:cs="Times New Roman"/>
          <w:sz w:val="24"/>
          <w:szCs w:val="24"/>
          <w:lang w:val="en-GB"/>
        </w:rPr>
        <w:t xml:space="preserve">ess’, </w:t>
      </w:r>
      <w:r w:rsidRPr="00050DEF">
        <w:rPr>
          <w:rFonts w:ascii="Times New Roman" w:hAnsi="Times New Roman" w:cs="Times New Roman"/>
          <w:i/>
          <w:iCs/>
          <w:sz w:val="24"/>
          <w:szCs w:val="24"/>
          <w:lang w:val="en-GB"/>
        </w:rPr>
        <w:t>American Political Science Review</w:t>
      </w:r>
      <w:r w:rsidRPr="00050DEF">
        <w:rPr>
          <w:rFonts w:ascii="Times New Roman" w:hAnsi="Times New Roman" w:cs="Times New Roman"/>
          <w:sz w:val="24"/>
          <w:szCs w:val="24"/>
          <w:lang w:val="en-GB"/>
        </w:rPr>
        <w:t xml:space="preserve"> 99</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3</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347</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59.</w:t>
      </w:r>
    </w:p>
    <w:p w14:paraId="0B8B499C" w14:textId="046D302E" w:rsidR="001A77B1" w:rsidRPr="00050DEF" w:rsidRDefault="001A77B1"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Miller, M</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Reichert</w:t>
      </w:r>
      <w:r w:rsidR="00762907">
        <w:rPr>
          <w:rFonts w:ascii="Times New Roman" w:hAnsi="Times New Roman" w:cs="Times New Roman"/>
          <w:sz w:val="24"/>
          <w:szCs w:val="24"/>
          <w:lang w:val="en-GB"/>
        </w:rPr>
        <w:t>, B.</w:t>
      </w:r>
      <w:r w:rsidRPr="00050DEF">
        <w:rPr>
          <w:rFonts w:ascii="Times New Roman" w:hAnsi="Times New Roman" w:cs="Times New Roman"/>
          <w:sz w:val="24"/>
          <w:szCs w:val="24"/>
          <w:lang w:val="en-GB"/>
        </w:rPr>
        <w:t xml:space="preserve"> (2001) ‘The </w:t>
      </w:r>
      <w:r w:rsidR="00A46E9C" w:rsidRPr="00050DEF">
        <w:rPr>
          <w:rFonts w:ascii="Times New Roman" w:hAnsi="Times New Roman" w:cs="Times New Roman"/>
          <w:sz w:val="24"/>
          <w:szCs w:val="24"/>
          <w:lang w:val="en-GB"/>
        </w:rPr>
        <w:t>spiral of opportunity and frame resonance’</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w:t>
      </w:r>
      <w:r w:rsidR="00762907">
        <w:rPr>
          <w:rFonts w:ascii="Times New Roman" w:hAnsi="Times New Roman" w:cs="Times New Roman"/>
          <w:sz w:val="24"/>
          <w:szCs w:val="24"/>
          <w:lang w:val="en-GB"/>
        </w:rPr>
        <w:t>i</w:t>
      </w:r>
      <w:r w:rsidRPr="00050DEF">
        <w:rPr>
          <w:rFonts w:ascii="Times New Roman" w:hAnsi="Times New Roman" w:cs="Times New Roman"/>
          <w:sz w:val="24"/>
          <w:szCs w:val="24"/>
          <w:lang w:val="en-GB"/>
        </w:rPr>
        <w:t xml:space="preserve">n </w:t>
      </w:r>
      <w:r w:rsidR="00762907">
        <w:rPr>
          <w:rFonts w:ascii="Times New Roman" w:hAnsi="Times New Roman" w:cs="Times New Roman"/>
          <w:sz w:val="24"/>
          <w:szCs w:val="24"/>
          <w:lang w:val="en-GB"/>
        </w:rPr>
        <w:t xml:space="preserve">S. </w:t>
      </w:r>
      <w:r w:rsidRPr="00050DEF">
        <w:rPr>
          <w:rFonts w:ascii="Times New Roman" w:hAnsi="Times New Roman" w:cs="Times New Roman"/>
          <w:sz w:val="24"/>
          <w:szCs w:val="24"/>
          <w:lang w:val="en-GB"/>
        </w:rPr>
        <w:t xml:space="preserve">Reese, </w:t>
      </w:r>
      <w:r w:rsidR="00762907">
        <w:rPr>
          <w:rFonts w:ascii="Times New Roman" w:hAnsi="Times New Roman" w:cs="Times New Roman"/>
          <w:sz w:val="24"/>
          <w:szCs w:val="24"/>
          <w:lang w:val="en-GB"/>
        </w:rPr>
        <w:t xml:space="preserve">O. </w:t>
      </w:r>
      <w:r w:rsidRPr="00050DEF">
        <w:rPr>
          <w:rFonts w:ascii="Times New Roman" w:hAnsi="Times New Roman" w:cs="Times New Roman"/>
          <w:sz w:val="24"/>
          <w:szCs w:val="24"/>
          <w:lang w:val="en-GB"/>
        </w:rPr>
        <w:t>Gandy, and A</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Grant (eds</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w:t>
      </w:r>
      <w:r w:rsidR="00762907">
        <w:rPr>
          <w:rFonts w:ascii="Times New Roman" w:hAnsi="Times New Roman" w:cs="Times New Roman"/>
          <w:sz w:val="24"/>
          <w:szCs w:val="24"/>
          <w:lang w:val="en-GB"/>
        </w:rPr>
        <w:t xml:space="preserve">, </w:t>
      </w:r>
      <w:r w:rsidR="00762907" w:rsidRPr="00E924E9">
        <w:rPr>
          <w:rFonts w:ascii="Times New Roman" w:hAnsi="Times New Roman" w:cs="Times New Roman"/>
          <w:i/>
          <w:sz w:val="24"/>
          <w:szCs w:val="24"/>
          <w:lang w:val="en-GB"/>
        </w:rPr>
        <w:t>Framing Public Life</w:t>
      </w:r>
      <w:r w:rsidR="00762907">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Mahwah: Lawrence Erlbaum Associates.</w:t>
      </w:r>
    </w:p>
    <w:p w14:paraId="7993910D" w14:textId="6BA6725E"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Riker, W</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(1996) </w:t>
      </w:r>
      <w:r w:rsidRPr="00050DEF">
        <w:rPr>
          <w:rFonts w:ascii="Times New Roman" w:hAnsi="Times New Roman" w:cs="Times New Roman"/>
          <w:i/>
          <w:iCs/>
          <w:sz w:val="24"/>
          <w:szCs w:val="24"/>
          <w:lang w:val="en-GB"/>
        </w:rPr>
        <w:t>The Strategy of Rhetoric. Campaigning for the American Constitution</w:t>
      </w:r>
      <w:r w:rsidRPr="00050DEF">
        <w:rPr>
          <w:rFonts w:ascii="Times New Roman" w:hAnsi="Times New Roman" w:cs="Times New Roman"/>
          <w:sz w:val="24"/>
          <w:szCs w:val="24"/>
          <w:lang w:val="en-GB"/>
        </w:rPr>
        <w:t>. New Haven: Yale University Press.</w:t>
      </w:r>
    </w:p>
    <w:p w14:paraId="2D30A672" w14:textId="03D8336E" w:rsidR="00357C2A" w:rsidRPr="00050DEF" w:rsidRDefault="00357C2A"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lastRenderedPageBreak/>
        <w:t>Sagarzazu, I</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Klüver</w:t>
      </w:r>
      <w:r w:rsidR="00F31108">
        <w:rPr>
          <w:rFonts w:ascii="Times New Roman" w:hAnsi="Times New Roman" w:cs="Times New Roman"/>
          <w:sz w:val="24"/>
          <w:szCs w:val="24"/>
          <w:lang w:val="en-GB"/>
        </w:rPr>
        <w:t>, H.</w:t>
      </w:r>
      <w:r w:rsidRPr="00050DEF">
        <w:rPr>
          <w:rFonts w:ascii="Times New Roman" w:hAnsi="Times New Roman" w:cs="Times New Roman"/>
          <w:sz w:val="24"/>
          <w:szCs w:val="24"/>
          <w:lang w:val="en-GB"/>
        </w:rPr>
        <w:t xml:space="preserve"> (2017) ‘Coalition </w:t>
      </w:r>
      <w:r w:rsidR="00A46E9C" w:rsidRPr="00050DEF">
        <w:rPr>
          <w:rFonts w:ascii="Times New Roman" w:hAnsi="Times New Roman" w:cs="Times New Roman"/>
          <w:sz w:val="24"/>
          <w:szCs w:val="24"/>
          <w:lang w:val="en-GB"/>
        </w:rPr>
        <w:t>governments and party competition: political communication strategies of coalition partie</w:t>
      </w:r>
      <w:r w:rsidRPr="00050DEF">
        <w:rPr>
          <w:rFonts w:ascii="Times New Roman" w:hAnsi="Times New Roman" w:cs="Times New Roman"/>
          <w:sz w:val="24"/>
          <w:szCs w:val="24"/>
          <w:lang w:val="en-GB"/>
        </w:rPr>
        <w:t xml:space="preserve">s’, </w:t>
      </w:r>
      <w:r w:rsidRPr="00050DEF">
        <w:rPr>
          <w:rFonts w:ascii="Times New Roman" w:hAnsi="Times New Roman" w:cs="Times New Roman"/>
          <w:i/>
          <w:iCs/>
          <w:sz w:val="24"/>
          <w:szCs w:val="24"/>
          <w:lang w:val="en-GB"/>
        </w:rPr>
        <w:t>Political Science Research and Methods</w:t>
      </w:r>
      <w:r w:rsidRPr="00050DEF">
        <w:rPr>
          <w:rFonts w:ascii="Times New Roman" w:hAnsi="Times New Roman" w:cs="Times New Roman"/>
          <w:sz w:val="24"/>
          <w:szCs w:val="24"/>
          <w:lang w:val="en-GB"/>
        </w:rPr>
        <w:t xml:space="preserve"> 5</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2</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333</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49.</w:t>
      </w:r>
    </w:p>
    <w:p w14:paraId="3E6E2DAB" w14:textId="5AC3F0F0" w:rsidR="001132EB" w:rsidRPr="00050DEF"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Schattschneider, E</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(1960) </w:t>
      </w:r>
      <w:r w:rsidRPr="00050DEF">
        <w:rPr>
          <w:rFonts w:ascii="Times New Roman" w:hAnsi="Times New Roman" w:cs="Times New Roman"/>
          <w:i/>
          <w:iCs/>
          <w:sz w:val="24"/>
          <w:szCs w:val="24"/>
          <w:lang w:val="en-GB"/>
        </w:rPr>
        <w:t>The Semisovereign People</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New York: Hold, Rinehart, and Winston.</w:t>
      </w:r>
    </w:p>
    <w:p w14:paraId="23DAD330" w14:textId="23B7738C" w:rsidR="001132EB" w:rsidRDefault="001132EB" w:rsidP="00411DAC">
      <w:pPr>
        <w:pStyle w:val="Bibliografi"/>
        <w:spacing w:line="480" w:lineRule="auto"/>
        <w:rPr>
          <w:rFonts w:ascii="Times New Roman" w:hAnsi="Times New Roman" w:cs="Times New Roman"/>
          <w:sz w:val="24"/>
          <w:szCs w:val="24"/>
          <w:lang w:val="en-GB"/>
        </w:rPr>
      </w:pPr>
      <w:r w:rsidRPr="00050DEF">
        <w:rPr>
          <w:rFonts w:ascii="Times New Roman" w:hAnsi="Times New Roman" w:cs="Times New Roman"/>
          <w:sz w:val="24"/>
          <w:szCs w:val="24"/>
          <w:lang w:val="en-GB"/>
        </w:rPr>
        <w:t>Sigelman, L</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and Buell</w:t>
      </w:r>
      <w:r w:rsidR="00F31108">
        <w:rPr>
          <w:rFonts w:ascii="Times New Roman" w:hAnsi="Times New Roman" w:cs="Times New Roman"/>
          <w:sz w:val="24"/>
          <w:szCs w:val="24"/>
          <w:lang w:val="en-GB"/>
        </w:rPr>
        <w:t>, E.</w:t>
      </w:r>
      <w:r w:rsidRPr="00050DEF">
        <w:rPr>
          <w:rFonts w:ascii="Times New Roman" w:hAnsi="Times New Roman" w:cs="Times New Roman"/>
          <w:sz w:val="24"/>
          <w:szCs w:val="24"/>
          <w:lang w:val="en-GB"/>
        </w:rPr>
        <w:t xml:space="preserve"> (2004) ‘Avoidance or engagement? Issue convergence in US presidential campaigns 1960</w:t>
      </w:r>
      <w:r w:rsidR="00F31108" w:rsidRPr="00050DEF">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2000’, </w:t>
      </w:r>
      <w:r w:rsidRPr="00050DEF">
        <w:rPr>
          <w:rFonts w:ascii="Times New Roman" w:hAnsi="Times New Roman" w:cs="Times New Roman"/>
          <w:i/>
          <w:iCs/>
          <w:sz w:val="24"/>
          <w:szCs w:val="24"/>
          <w:lang w:val="en-GB"/>
        </w:rPr>
        <w:t>American Journal of Political Science</w:t>
      </w:r>
      <w:r w:rsidRPr="00050DEF">
        <w:rPr>
          <w:rFonts w:ascii="Times New Roman" w:hAnsi="Times New Roman" w:cs="Times New Roman"/>
          <w:sz w:val="24"/>
          <w:szCs w:val="24"/>
          <w:lang w:val="en-GB"/>
        </w:rPr>
        <w:t xml:space="preserve"> 48</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4</w:t>
      </w:r>
      <w:r w:rsidR="00F31108">
        <w:rPr>
          <w:rFonts w:ascii="Times New Roman" w:hAnsi="Times New Roman" w:cs="Times New Roman"/>
          <w:sz w:val="24"/>
          <w:szCs w:val="24"/>
          <w:lang w:val="en-GB"/>
        </w:rPr>
        <w:t>:</w:t>
      </w:r>
      <w:r w:rsidRPr="00050DEF">
        <w:rPr>
          <w:rFonts w:ascii="Times New Roman" w:hAnsi="Times New Roman" w:cs="Times New Roman"/>
          <w:sz w:val="24"/>
          <w:szCs w:val="24"/>
          <w:lang w:val="en-GB"/>
        </w:rPr>
        <w:t xml:space="preserve"> 650</w:t>
      </w:r>
      <w:r w:rsidR="00CF14F1">
        <w:rPr>
          <w:rFonts w:ascii="Times New Roman" w:hAnsi="Times New Roman" w:cs="Times New Roman"/>
          <w:sz w:val="24"/>
          <w:szCs w:val="24"/>
          <w:lang w:val="en-GB"/>
        </w:rPr>
        <w:t>-</w:t>
      </w:r>
      <w:r w:rsidRPr="00050DEF">
        <w:rPr>
          <w:rFonts w:ascii="Times New Roman" w:hAnsi="Times New Roman" w:cs="Times New Roman"/>
          <w:sz w:val="24"/>
          <w:szCs w:val="24"/>
          <w:lang w:val="en-GB"/>
        </w:rPr>
        <w:t>61.</w:t>
      </w:r>
    </w:p>
    <w:p w14:paraId="7EC97D61" w14:textId="2B7FE85E" w:rsidR="00026491" w:rsidRDefault="00026491" w:rsidP="00026491">
      <w:pPr>
        <w:rPr>
          <w:lang w:val="en-GB"/>
        </w:rPr>
      </w:pPr>
    </w:p>
    <w:p w14:paraId="65021B5D" w14:textId="61D8CD78" w:rsidR="00E730B7" w:rsidRDefault="00E730B7">
      <w:pPr>
        <w:rPr>
          <w:lang w:val="en-GB"/>
        </w:rPr>
      </w:pPr>
      <w:r>
        <w:rPr>
          <w:lang w:val="en-GB"/>
        </w:rPr>
        <w:br w:type="page"/>
      </w:r>
    </w:p>
    <w:p w14:paraId="4190A1A8" w14:textId="0A445A0E" w:rsidR="00481D09" w:rsidRDefault="00481D09" w:rsidP="00026491">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Words: </w:t>
      </w:r>
      <w:r w:rsidR="004D2D60">
        <w:rPr>
          <w:rFonts w:ascii="Times New Roman" w:hAnsi="Times New Roman" w:cs="Times New Roman"/>
          <w:sz w:val="24"/>
          <w:szCs w:val="24"/>
          <w:lang w:val="en-GB"/>
        </w:rPr>
        <w:t>7700</w:t>
      </w:r>
    </w:p>
    <w:p w14:paraId="554F67D5" w14:textId="7F963C34" w:rsidR="00026491" w:rsidRPr="00E730B7" w:rsidRDefault="00E730B7" w:rsidP="00026491">
      <w:pPr>
        <w:rPr>
          <w:rFonts w:ascii="Times New Roman" w:hAnsi="Times New Roman" w:cs="Times New Roman"/>
          <w:sz w:val="24"/>
          <w:szCs w:val="24"/>
          <w:lang w:val="en-GB"/>
        </w:rPr>
      </w:pPr>
      <w:r w:rsidRPr="00E730B7">
        <w:rPr>
          <w:rFonts w:ascii="Times New Roman" w:hAnsi="Times New Roman" w:cs="Times New Roman"/>
          <w:sz w:val="24"/>
          <w:szCs w:val="24"/>
          <w:lang w:val="en-GB"/>
        </w:rPr>
        <w:t>Supplemental data for this article can be accessed at</w:t>
      </w:r>
      <w:r>
        <w:rPr>
          <w:rFonts w:ascii="Times New Roman" w:hAnsi="Times New Roman" w:cs="Times New Roman"/>
          <w:sz w:val="24"/>
          <w:szCs w:val="24"/>
          <w:lang w:val="en-GB"/>
        </w:rPr>
        <w:t xml:space="preserve"> … (publisher provides doi).</w:t>
      </w:r>
    </w:p>
    <w:p w14:paraId="1DCD9ADD" w14:textId="77777777" w:rsidR="009E63AA" w:rsidRDefault="009E63AA" w:rsidP="009E63AA">
      <w:pPr>
        <w:spacing w:after="0" w:line="480" w:lineRule="auto"/>
        <w:rPr>
          <w:rFonts w:ascii="Times New Roman" w:hAnsi="Times New Roman" w:cs="Times New Roman"/>
          <w:sz w:val="24"/>
          <w:szCs w:val="24"/>
        </w:rPr>
      </w:pPr>
    </w:p>
    <w:p w14:paraId="6D589C6D" w14:textId="7CDBF832" w:rsidR="009E63AA" w:rsidRPr="009E63AA" w:rsidRDefault="009E63AA" w:rsidP="009E63AA">
      <w:pPr>
        <w:spacing w:after="0" w:line="480" w:lineRule="auto"/>
        <w:rPr>
          <w:rFonts w:ascii="Times New Roman" w:hAnsi="Times New Roman" w:cs="Times New Roman"/>
          <w:sz w:val="24"/>
          <w:szCs w:val="24"/>
        </w:rPr>
      </w:pPr>
      <w:r w:rsidRPr="009E63AA">
        <w:rPr>
          <w:rFonts w:ascii="Times New Roman" w:hAnsi="Times New Roman" w:cs="Times New Roman"/>
          <w:sz w:val="24"/>
          <w:szCs w:val="24"/>
        </w:rPr>
        <w:t>Carsten Jensen is a professor at Department of Political Science at Aarhus University (</w:t>
      </w:r>
      <w:hyperlink r:id="rId9" w:history="1">
        <w:r w:rsidRPr="009E63AA">
          <w:rPr>
            <w:rStyle w:val="Hyperlink"/>
            <w:rFonts w:ascii="Times New Roman" w:hAnsi="Times New Roman" w:cs="Times New Roman"/>
            <w:sz w:val="24"/>
            <w:szCs w:val="24"/>
          </w:rPr>
          <w:t>carstenj@ps.au.dk</w:t>
        </w:r>
      </w:hyperlink>
      <w:r w:rsidRPr="009E63AA">
        <w:rPr>
          <w:rFonts w:ascii="Times New Roman" w:hAnsi="Times New Roman" w:cs="Times New Roman"/>
          <w:sz w:val="24"/>
          <w:szCs w:val="24"/>
        </w:rPr>
        <w:t>).</w:t>
      </w:r>
    </w:p>
    <w:p w14:paraId="6BF121AF" w14:textId="500F20E9" w:rsidR="009E63AA" w:rsidRPr="009E63AA" w:rsidRDefault="009E63AA" w:rsidP="009E63AA">
      <w:pPr>
        <w:spacing w:after="0" w:line="480" w:lineRule="auto"/>
        <w:rPr>
          <w:rFonts w:ascii="Times New Roman" w:hAnsi="Times New Roman" w:cs="Times New Roman"/>
          <w:sz w:val="24"/>
          <w:szCs w:val="24"/>
        </w:rPr>
      </w:pPr>
      <w:r w:rsidRPr="009E63AA">
        <w:rPr>
          <w:rFonts w:ascii="Times New Roman" w:hAnsi="Times New Roman" w:cs="Times New Roman"/>
          <w:sz w:val="24"/>
          <w:szCs w:val="24"/>
        </w:rPr>
        <w:t>Henrik Bech Seeberg is an associate professor at Department of Political Science at Aarhus University (</w:t>
      </w:r>
      <w:hyperlink r:id="rId10" w:history="1">
        <w:r w:rsidRPr="009E63AA">
          <w:rPr>
            <w:rStyle w:val="Hyperlink"/>
            <w:rFonts w:ascii="Times New Roman" w:hAnsi="Times New Roman" w:cs="Times New Roman"/>
            <w:sz w:val="24"/>
            <w:szCs w:val="24"/>
          </w:rPr>
          <w:t>h.seeberg@ps.au.dk</w:t>
        </w:r>
      </w:hyperlink>
      <w:r w:rsidRPr="009E63AA">
        <w:rPr>
          <w:rFonts w:ascii="Times New Roman" w:hAnsi="Times New Roman" w:cs="Times New Roman"/>
          <w:sz w:val="24"/>
          <w:szCs w:val="24"/>
        </w:rPr>
        <w:t>).</w:t>
      </w:r>
    </w:p>
    <w:p w14:paraId="6F6E67A1" w14:textId="432A9CC9" w:rsidR="009E63AA" w:rsidRPr="009E63AA" w:rsidRDefault="009E63AA" w:rsidP="009E63AA">
      <w:pPr>
        <w:spacing w:after="0" w:line="480" w:lineRule="auto"/>
        <w:rPr>
          <w:rFonts w:ascii="Times New Roman" w:hAnsi="Times New Roman" w:cs="Times New Roman"/>
          <w:sz w:val="24"/>
          <w:szCs w:val="24"/>
        </w:rPr>
      </w:pPr>
    </w:p>
    <w:p w14:paraId="78CC5FDF" w14:textId="44E6129C" w:rsidR="009E63AA" w:rsidRPr="009E63AA" w:rsidRDefault="009E63AA" w:rsidP="009E63AA">
      <w:pPr>
        <w:spacing w:after="0" w:line="480" w:lineRule="auto"/>
        <w:rPr>
          <w:rFonts w:ascii="Times New Roman" w:hAnsi="Times New Roman" w:cs="Times New Roman"/>
          <w:sz w:val="24"/>
          <w:szCs w:val="24"/>
        </w:rPr>
      </w:pPr>
      <w:r w:rsidRPr="009E63AA">
        <w:rPr>
          <w:rFonts w:ascii="Times New Roman" w:hAnsi="Times New Roman" w:cs="Times New Roman"/>
          <w:sz w:val="24"/>
          <w:szCs w:val="24"/>
        </w:rPr>
        <w:t>Address of correspondence: Department of Political Science at Aarhus University, Bartholins Alle 7, 8000 Aarhus C, Denmark, c/o: Carsten Jensen (</w:t>
      </w:r>
      <w:hyperlink r:id="rId11" w:history="1">
        <w:r w:rsidRPr="009E63AA">
          <w:rPr>
            <w:rStyle w:val="Hyperlink"/>
            <w:rFonts w:ascii="Times New Roman" w:hAnsi="Times New Roman" w:cs="Times New Roman"/>
            <w:sz w:val="24"/>
            <w:szCs w:val="24"/>
          </w:rPr>
          <w:t>carstenj@ps.au.dk</w:t>
        </w:r>
      </w:hyperlink>
      <w:r w:rsidRPr="009E63AA">
        <w:rPr>
          <w:rFonts w:ascii="Times New Roman" w:hAnsi="Times New Roman" w:cs="Times New Roman"/>
          <w:sz w:val="24"/>
          <w:szCs w:val="24"/>
        </w:rPr>
        <w:t>).</w:t>
      </w:r>
    </w:p>
    <w:p w14:paraId="54CDA3F5" w14:textId="60373BB1" w:rsidR="009E63AA" w:rsidRDefault="009E63AA" w:rsidP="009E63AA">
      <w:pPr>
        <w:spacing w:after="0" w:line="480" w:lineRule="auto"/>
        <w:rPr>
          <w:rFonts w:ascii="Times New Roman" w:hAnsi="Times New Roman" w:cs="Times New Roman"/>
          <w:i/>
          <w:sz w:val="24"/>
          <w:szCs w:val="24"/>
        </w:rPr>
      </w:pPr>
    </w:p>
    <w:p w14:paraId="41F9E41F" w14:textId="2FF43885" w:rsidR="009E63AA" w:rsidRPr="009E63AA" w:rsidRDefault="009E63AA" w:rsidP="009E63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Acknowledgements: The authors would like to thank the reviewers and editors for comments on the manuscript in addition to Arco Timmermans, Helene Helboe Pedersen, and Anne Binderkrantz and participants at the MPSA in 2018. </w:t>
      </w:r>
      <w:r w:rsidR="008D6E0E">
        <w:rPr>
          <w:rFonts w:ascii="Times New Roman" w:hAnsi="Times New Roman" w:cs="Times New Roman"/>
          <w:sz w:val="24"/>
          <w:szCs w:val="24"/>
        </w:rPr>
        <w:t xml:space="preserve">The study was funded by the </w:t>
      </w:r>
      <w:r w:rsidR="00BA16CF">
        <w:rPr>
          <w:rFonts w:ascii="Times New Roman" w:hAnsi="Times New Roman" w:cs="Times New Roman"/>
          <w:sz w:val="24"/>
          <w:szCs w:val="24"/>
        </w:rPr>
        <w:t>Independent Research</w:t>
      </w:r>
      <w:r w:rsidR="008D6E0E">
        <w:rPr>
          <w:rFonts w:ascii="Times New Roman" w:hAnsi="Times New Roman" w:cs="Times New Roman"/>
          <w:sz w:val="24"/>
          <w:szCs w:val="24"/>
        </w:rPr>
        <w:t xml:space="preserve"> </w:t>
      </w:r>
      <w:r w:rsidR="00BA16CF">
        <w:rPr>
          <w:rFonts w:ascii="Times New Roman" w:hAnsi="Times New Roman" w:cs="Times New Roman"/>
          <w:sz w:val="24"/>
          <w:szCs w:val="24"/>
        </w:rPr>
        <w:t xml:space="preserve">Fund Denmark </w:t>
      </w:r>
      <w:r w:rsidR="008D6E0E">
        <w:rPr>
          <w:rFonts w:ascii="Times New Roman" w:hAnsi="Times New Roman" w:cs="Times New Roman"/>
          <w:sz w:val="24"/>
          <w:szCs w:val="24"/>
        </w:rPr>
        <w:t xml:space="preserve">(grant number </w:t>
      </w:r>
      <w:r w:rsidR="000575D5">
        <w:rPr>
          <w:rFonts w:ascii="Times New Roman" w:hAnsi="Times New Roman" w:cs="Times New Roman"/>
          <w:sz w:val="24"/>
          <w:szCs w:val="24"/>
        </w:rPr>
        <w:t>1317-0005</w:t>
      </w:r>
      <w:r w:rsidR="008D6E0E">
        <w:rPr>
          <w:rFonts w:ascii="Times New Roman" w:hAnsi="Times New Roman" w:cs="Times New Roman"/>
          <w:sz w:val="24"/>
          <w:szCs w:val="24"/>
        </w:rPr>
        <w:t>).</w:t>
      </w:r>
    </w:p>
    <w:p w14:paraId="5F24C991" w14:textId="1E836FC4" w:rsidR="003E79B4" w:rsidRDefault="003E79B4">
      <w:pPr>
        <w:rPr>
          <w:lang w:val="en-GB"/>
        </w:rPr>
      </w:pPr>
      <w:r>
        <w:rPr>
          <w:lang w:val="en-GB"/>
        </w:rPr>
        <w:br w:type="page"/>
      </w:r>
    </w:p>
    <w:p w14:paraId="1E0D8CEF" w14:textId="77777777" w:rsidR="003E79B4" w:rsidRPr="00443E2B" w:rsidRDefault="003E79B4" w:rsidP="003E79B4">
      <w:pPr>
        <w:spacing w:after="0" w:line="480" w:lineRule="auto"/>
        <w:rPr>
          <w:rFonts w:ascii="Times New Roman" w:hAnsi="Times New Roman" w:cs="Times New Roman"/>
          <w:sz w:val="24"/>
          <w:szCs w:val="24"/>
        </w:rPr>
      </w:pPr>
      <w:r w:rsidRPr="00443E2B">
        <w:rPr>
          <w:rFonts w:ascii="Times New Roman" w:hAnsi="Times New Roman" w:cs="Times New Roman"/>
          <w:sz w:val="24"/>
          <w:szCs w:val="24"/>
        </w:rPr>
        <w:lastRenderedPageBreak/>
        <w:t>Table 1. A typology over interest groups’ frame strategies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61"/>
        <w:gridCol w:w="2491"/>
        <w:gridCol w:w="2491"/>
      </w:tblGrid>
      <w:tr w:rsidR="003E79B4" w:rsidRPr="00113898" w14:paraId="0CA70E1A" w14:textId="77777777" w:rsidTr="004A054C">
        <w:tc>
          <w:tcPr>
            <w:tcW w:w="3119" w:type="dxa"/>
            <w:tcBorders>
              <w:top w:val="single" w:sz="4" w:space="0" w:color="auto"/>
            </w:tcBorders>
          </w:tcPr>
          <w:p w14:paraId="08E47B47" w14:textId="77777777" w:rsidR="003E79B4" w:rsidRPr="00113898" w:rsidRDefault="003E79B4" w:rsidP="004A054C">
            <w:pPr>
              <w:rPr>
                <w:rFonts w:ascii="Times New Roman" w:hAnsi="Times New Roman" w:cs="Times New Roman"/>
                <w:sz w:val="24"/>
                <w:szCs w:val="24"/>
              </w:rPr>
            </w:pPr>
          </w:p>
        </w:tc>
        <w:tc>
          <w:tcPr>
            <w:tcW w:w="1861" w:type="dxa"/>
            <w:tcBorders>
              <w:top w:val="single" w:sz="4" w:space="0" w:color="auto"/>
            </w:tcBorders>
          </w:tcPr>
          <w:p w14:paraId="405A0D16" w14:textId="77777777" w:rsidR="003E79B4" w:rsidRPr="00113898" w:rsidRDefault="003E79B4" w:rsidP="004A054C">
            <w:pPr>
              <w:rPr>
                <w:rFonts w:ascii="Times New Roman" w:hAnsi="Times New Roman" w:cs="Times New Roman"/>
                <w:sz w:val="24"/>
                <w:szCs w:val="24"/>
              </w:rPr>
            </w:pPr>
          </w:p>
        </w:tc>
        <w:tc>
          <w:tcPr>
            <w:tcW w:w="4982" w:type="dxa"/>
            <w:gridSpan w:val="2"/>
            <w:tcBorders>
              <w:top w:val="single" w:sz="4" w:space="0" w:color="auto"/>
            </w:tcBorders>
          </w:tcPr>
          <w:p w14:paraId="59B4EAF8" w14:textId="77777777" w:rsidR="003E79B4" w:rsidRPr="00113898" w:rsidRDefault="003E79B4" w:rsidP="004A054C">
            <w:pPr>
              <w:jc w:val="center"/>
              <w:rPr>
                <w:rFonts w:ascii="Times New Roman" w:hAnsi="Times New Roman" w:cs="Times New Roman"/>
                <w:b/>
                <w:sz w:val="24"/>
                <w:szCs w:val="24"/>
              </w:rPr>
            </w:pPr>
            <w:r w:rsidRPr="00113898">
              <w:rPr>
                <w:rFonts w:ascii="Times New Roman" w:hAnsi="Times New Roman" w:cs="Times New Roman"/>
                <w:b/>
                <w:sz w:val="24"/>
                <w:szCs w:val="24"/>
              </w:rPr>
              <w:t>Engage with macro-frame?</w:t>
            </w:r>
          </w:p>
        </w:tc>
      </w:tr>
      <w:tr w:rsidR="003E79B4" w:rsidRPr="00113898" w14:paraId="23E147DA" w14:textId="77777777" w:rsidTr="004A054C">
        <w:tc>
          <w:tcPr>
            <w:tcW w:w="3119" w:type="dxa"/>
            <w:tcBorders>
              <w:bottom w:val="single" w:sz="4" w:space="0" w:color="auto"/>
            </w:tcBorders>
          </w:tcPr>
          <w:p w14:paraId="7FD4C565" w14:textId="77777777" w:rsidR="003E79B4" w:rsidRPr="00113898" w:rsidRDefault="003E79B4" w:rsidP="004A054C">
            <w:pPr>
              <w:rPr>
                <w:rFonts w:ascii="Times New Roman" w:hAnsi="Times New Roman" w:cs="Times New Roman"/>
                <w:i/>
                <w:sz w:val="24"/>
                <w:szCs w:val="24"/>
              </w:rPr>
            </w:pPr>
          </w:p>
        </w:tc>
        <w:tc>
          <w:tcPr>
            <w:tcW w:w="1861" w:type="dxa"/>
            <w:tcBorders>
              <w:bottom w:val="single" w:sz="4" w:space="0" w:color="auto"/>
            </w:tcBorders>
          </w:tcPr>
          <w:p w14:paraId="20A5BE9C" w14:textId="77777777" w:rsidR="003E79B4" w:rsidRPr="00113898" w:rsidRDefault="003E79B4" w:rsidP="004A054C">
            <w:pPr>
              <w:rPr>
                <w:rFonts w:ascii="Times New Roman" w:hAnsi="Times New Roman" w:cs="Times New Roman"/>
                <w:i/>
                <w:sz w:val="24"/>
                <w:szCs w:val="24"/>
              </w:rPr>
            </w:pPr>
          </w:p>
        </w:tc>
        <w:tc>
          <w:tcPr>
            <w:tcW w:w="2491" w:type="dxa"/>
            <w:tcBorders>
              <w:bottom w:val="single" w:sz="4" w:space="0" w:color="auto"/>
            </w:tcBorders>
          </w:tcPr>
          <w:p w14:paraId="118E3786" w14:textId="77777777" w:rsidR="003E79B4" w:rsidRPr="00113898" w:rsidRDefault="003E79B4" w:rsidP="004A054C">
            <w:pPr>
              <w:jc w:val="center"/>
              <w:rPr>
                <w:rFonts w:ascii="Times New Roman" w:hAnsi="Times New Roman" w:cs="Times New Roman"/>
                <w:b/>
                <w:sz w:val="24"/>
                <w:szCs w:val="24"/>
              </w:rPr>
            </w:pPr>
            <w:r w:rsidRPr="00113898">
              <w:rPr>
                <w:rFonts w:ascii="Times New Roman" w:hAnsi="Times New Roman" w:cs="Times New Roman"/>
                <w:b/>
                <w:sz w:val="24"/>
                <w:szCs w:val="24"/>
              </w:rPr>
              <w:t>No</w:t>
            </w:r>
          </w:p>
        </w:tc>
        <w:tc>
          <w:tcPr>
            <w:tcW w:w="2491" w:type="dxa"/>
            <w:tcBorders>
              <w:bottom w:val="single" w:sz="4" w:space="0" w:color="auto"/>
            </w:tcBorders>
          </w:tcPr>
          <w:p w14:paraId="17F4C2C9" w14:textId="77777777" w:rsidR="003E79B4" w:rsidRPr="00113898" w:rsidRDefault="003E79B4" w:rsidP="004A054C">
            <w:pPr>
              <w:jc w:val="center"/>
              <w:rPr>
                <w:rFonts w:ascii="Times New Roman" w:hAnsi="Times New Roman" w:cs="Times New Roman"/>
                <w:b/>
                <w:sz w:val="24"/>
                <w:szCs w:val="24"/>
              </w:rPr>
            </w:pPr>
            <w:r w:rsidRPr="00113898">
              <w:rPr>
                <w:rFonts w:ascii="Times New Roman" w:hAnsi="Times New Roman" w:cs="Times New Roman"/>
                <w:b/>
                <w:sz w:val="24"/>
                <w:szCs w:val="24"/>
              </w:rPr>
              <w:t>Yes</w:t>
            </w:r>
          </w:p>
        </w:tc>
      </w:tr>
      <w:tr w:rsidR="003E79B4" w:rsidRPr="00113898" w14:paraId="3DAAD661" w14:textId="77777777" w:rsidTr="004A054C">
        <w:tc>
          <w:tcPr>
            <w:tcW w:w="3119" w:type="dxa"/>
            <w:vMerge w:val="restart"/>
            <w:tcBorders>
              <w:top w:val="single" w:sz="4" w:space="0" w:color="auto"/>
            </w:tcBorders>
          </w:tcPr>
          <w:p w14:paraId="148E3DD4" w14:textId="77777777" w:rsidR="003E79B4" w:rsidRPr="00113898" w:rsidRDefault="003E79B4" w:rsidP="004A054C">
            <w:pPr>
              <w:rPr>
                <w:rFonts w:ascii="Times New Roman" w:hAnsi="Times New Roman" w:cs="Times New Roman"/>
                <w:b/>
                <w:sz w:val="24"/>
                <w:szCs w:val="24"/>
              </w:rPr>
            </w:pPr>
            <w:r w:rsidRPr="00113898">
              <w:rPr>
                <w:rFonts w:ascii="Times New Roman" w:hAnsi="Times New Roman" w:cs="Times New Roman"/>
                <w:b/>
                <w:sz w:val="24"/>
                <w:szCs w:val="24"/>
              </w:rPr>
              <w:t>Promote own micro-frame?</w:t>
            </w:r>
          </w:p>
        </w:tc>
        <w:tc>
          <w:tcPr>
            <w:tcW w:w="1861" w:type="dxa"/>
            <w:tcBorders>
              <w:top w:val="single" w:sz="4" w:space="0" w:color="auto"/>
            </w:tcBorders>
          </w:tcPr>
          <w:p w14:paraId="2FE6BA5E" w14:textId="77777777" w:rsidR="003E79B4" w:rsidRPr="00113898" w:rsidRDefault="003E79B4" w:rsidP="004A054C">
            <w:pPr>
              <w:rPr>
                <w:rFonts w:ascii="Times New Roman" w:hAnsi="Times New Roman" w:cs="Times New Roman"/>
                <w:b/>
                <w:sz w:val="24"/>
                <w:szCs w:val="24"/>
              </w:rPr>
            </w:pPr>
            <w:r w:rsidRPr="00113898">
              <w:rPr>
                <w:rFonts w:ascii="Times New Roman" w:hAnsi="Times New Roman" w:cs="Times New Roman"/>
                <w:b/>
                <w:sz w:val="24"/>
                <w:szCs w:val="24"/>
              </w:rPr>
              <w:t>No</w:t>
            </w:r>
          </w:p>
        </w:tc>
        <w:tc>
          <w:tcPr>
            <w:tcW w:w="2491" w:type="dxa"/>
            <w:tcBorders>
              <w:top w:val="single" w:sz="4" w:space="0" w:color="auto"/>
            </w:tcBorders>
          </w:tcPr>
          <w:p w14:paraId="41888582" w14:textId="77777777" w:rsidR="003E79B4" w:rsidRPr="00113898" w:rsidRDefault="003E79B4" w:rsidP="004A054C">
            <w:pPr>
              <w:jc w:val="center"/>
              <w:rPr>
                <w:rFonts w:ascii="Times New Roman" w:hAnsi="Times New Roman" w:cs="Times New Roman"/>
                <w:i/>
                <w:sz w:val="24"/>
                <w:szCs w:val="24"/>
              </w:rPr>
            </w:pPr>
            <w:r w:rsidRPr="00113898">
              <w:rPr>
                <w:rFonts w:ascii="Times New Roman" w:hAnsi="Times New Roman" w:cs="Times New Roman"/>
                <w:i/>
                <w:sz w:val="24"/>
                <w:szCs w:val="24"/>
              </w:rPr>
              <w:t>Exit</w:t>
            </w:r>
          </w:p>
        </w:tc>
        <w:tc>
          <w:tcPr>
            <w:tcW w:w="2491" w:type="dxa"/>
            <w:tcBorders>
              <w:top w:val="single" w:sz="4" w:space="0" w:color="auto"/>
            </w:tcBorders>
          </w:tcPr>
          <w:p w14:paraId="2D76B281" w14:textId="77777777" w:rsidR="003E79B4" w:rsidRPr="00113898" w:rsidRDefault="003E79B4" w:rsidP="004A054C">
            <w:pPr>
              <w:jc w:val="center"/>
              <w:rPr>
                <w:rFonts w:ascii="Times New Roman" w:hAnsi="Times New Roman" w:cs="Times New Roman"/>
                <w:i/>
                <w:sz w:val="24"/>
                <w:szCs w:val="24"/>
              </w:rPr>
            </w:pPr>
            <w:r w:rsidRPr="00113898">
              <w:rPr>
                <w:rFonts w:ascii="Times New Roman" w:hAnsi="Times New Roman" w:cs="Times New Roman"/>
                <w:i/>
                <w:sz w:val="24"/>
                <w:szCs w:val="24"/>
              </w:rPr>
              <w:t>Acceptance</w:t>
            </w:r>
          </w:p>
        </w:tc>
      </w:tr>
      <w:tr w:rsidR="003E79B4" w:rsidRPr="00113898" w14:paraId="25A0A98C" w14:textId="77777777" w:rsidTr="004A054C">
        <w:tc>
          <w:tcPr>
            <w:tcW w:w="3119" w:type="dxa"/>
            <w:vMerge/>
            <w:tcBorders>
              <w:bottom w:val="single" w:sz="4" w:space="0" w:color="auto"/>
            </w:tcBorders>
          </w:tcPr>
          <w:p w14:paraId="5DEF2712" w14:textId="77777777" w:rsidR="003E79B4" w:rsidRPr="00113898" w:rsidRDefault="003E79B4" w:rsidP="004A054C">
            <w:pPr>
              <w:rPr>
                <w:rFonts w:ascii="Times New Roman" w:hAnsi="Times New Roman" w:cs="Times New Roman"/>
                <w:b/>
                <w:sz w:val="24"/>
                <w:szCs w:val="24"/>
              </w:rPr>
            </w:pPr>
          </w:p>
        </w:tc>
        <w:tc>
          <w:tcPr>
            <w:tcW w:w="1861" w:type="dxa"/>
            <w:tcBorders>
              <w:bottom w:val="single" w:sz="4" w:space="0" w:color="auto"/>
            </w:tcBorders>
          </w:tcPr>
          <w:p w14:paraId="3ABAC398" w14:textId="77777777" w:rsidR="003E79B4" w:rsidRPr="00113898" w:rsidRDefault="003E79B4" w:rsidP="004A054C">
            <w:pPr>
              <w:rPr>
                <w:rFonts w:ascii="Times New Roman" w:hAnsi="Times New Roman" w:cs="Times New Roman"/>
                <w:b/>
                <w:sz w:val="24"/>
                <w:szCs w:val="24"/>
              </w:rPr>
            </w:pPr>
            <w:r w:rsidRPr="00113898">
              <w:rPr>
                <w:rFonts w:ascii="Times New Roman" w:hAnsi="Times New Roman" w:cs="Times New Roman"/>
                <w:b/>
                <w:sz w:val="24"/>
                <w:szCs w:val="24"/>
              </w:rPr>
              <w:t>Yes</w:t>
            </w:r>
          </w:p>
        </w:tc>
        <w:tc>
          <w:tcPr>
            <w:tcW w:w="2491" w:type="dxa"/>
            <w:tcBorders>
              <w:bottom w:val="single" w:sz="4" w:space="0" w:color="auto"/>
            </w:tcBorders>
          </w:tcPr>
          <w:p w14:paraId="29EE60D5" w14:textId="77777777" w:rsidR="003E79B4" w:rsidRPr="00113898" w:rsidRDefault="003E79B4" w:rsidP="004A054C">
            <w:pPr>
              <w:jc w:val="center"/>
              <w:rPr>
                <w:rFonts w:ascii="Times New Roman" w:hAnsi="Times New Roman" w:cs="Times New Roman"/>
                <w:i/>
                <w:sz w:val="24"/>
                <w:szCs w:val="24"/>
              </w:rPr>
            </w:pPr>
            <w:r w:rsidRPr="00113898">
              <w:rPr>
                <w:rFonts w:ascii="Times New Roman" w:hAnsi="Times New Roman" w:cs="Times New Roman"/>
                <w:i/>
                <w:sz w:val="24"/>
                <w:szCs w:val="24"/>
              </w:rPr>
              <w:t>Avoidance</w:t>
            </w:r>
          </w:p>
        </w:tc>
        <w:tc>
          <w:tcPr>
            <w:tcW w:w="2491" w:type="dxa"/>
            <w:tcBorders>
              <w:bottom w:val="single" w:sz="4" w:space="0" w:color="auto"/>
            </w:tcBorders>
          </w:tcPr>
          <w:p w14:paraId="39059136" w14:textId="77777777" w:rsidR="003E79B4" w:rsidRPr="00113898" w:rsidRDefault="003E79B4" w:rsidP="004A054C">
            <w:pPr>
              <w:jc w:val="center"/>
              <w:rPr>
                <w:rFonts w:ascii="Times New Roman" w:hAnsi="Times New Roman" w:cs="Times New Roman"/>
                <w:i/>
                <w:sz w:val="24"/>
                <w:szCs w:val="24"/>
              </w:rPr>
            </w:pPr>
            <w:r w:rsidRPr="00113898">
              <w:rPr>
                <w:rFonts w:ascii="Times New Roman" w:hAnsi="Times New Roman" w:cs="Times New Roman"/>
                <w:i/>
                <w:sz w:val="24"/>
                <w:szCs w:val="24"/>
              </w:rPr>
              <w:t>Rejection</w:t>
            </w:r>
          </w:p>
        </w:tc>
      </w:tr>
    </w:tbl>
    <w:p w14:paraId="1F952D0A" w14:textId="77777777" w:rsidR="003E79B4" w:rsidRPr="00113898" w:rsidRDefault="003E79B4" w:rsidP="003E79B4">
      <w:pPr>
        <w:spacing w:after="0" w:line="480" w:lineRule="auto"/>
        <w:rPr>
          <w:rFonts w:ascii="Times New Roman" w:hAnsi="Times New Roman" w:cs="Times New Roman"/>
          <w:sz w:val="24"/>
          <w:szCs w:val="24"/>
        </w:rPr>
      </w:pPr>
    </w:p>
    <w:p w14:paraId="38ED8F8E" w14:textId="77777777" w:rsidR="003E79B4" w:rsidRDefault="003E79B4" w:rsidP="003E79B4"/>
    <w:p w14:paraId="33637A5C" w14:textId="53A2D375" w:rsidR="003E79B4" w:rsidRDefault="003E79B4">
      <w:pPr>
        <w:rPr>
          <w:lang w:val="en-GB"/>
        </w:rPr>
      </w:pPr>
      <w:r>
        <w:rPr>
          <w:lang w:val="en-GB"/>
        </w:rPr>
        <w:br w:type="page"/>
      </w:r>
    </w:p>
    <w:p w14:paraId="3F4E0DEC" w14:textId="77777777" w:rsidR="003E79B4" w:rsidRDefault="003E79B4" w:rsidP="003E79B4">
      <w:pPr>
        <w:rPr>
          <w:rFonts w:ascii="Times New Roman" w:hAnsi="Times New Roman" w:cs="Times New Roman"/>
        </w:rPr>
        <w:sectPr w:rsidR="003E79B4">
          <w:footerReference w:type="default" r:id="rId12"/>
          <w:pgSz w:w="12240" w:h="15840"/>
          <w:pgMar w:top="1701" w:right="1134" w:bottom="1701" w:left="1134" w:header="708" w:footer="708" w:gutter="0"/>
          <w:cols w:space="708"/>
          <w:docGrid w:linePitch="360"/>
        </w:sectPr>
      </w:pPr>
    </w:p>
    <w:p w14:paraId="72C29DFB" w14:textId="1030E857" w:rsidR="003E79B4" w:rsidRPr="00A31762" w:rsidRDefault="003E79B4" w:rsidP="003E79B4">
      <w:pPr>
        <w:rPr>
          <w:rFonts w:ascii="Times New Roman" w:hAnsi="Times New Roman" w:cs="Times New Roman"/>
        </w:rPr>
      </w:pPr>
      <w:r w:rsidRPr="00A31762">
        <w:rPr>
          <w:rFonts w:ascii="Times New Roman" w:hAnsi="Times New Roman" w:cs="Times New Roman"/>
        </w:rPr>
        <w:lastRenderedPageBreak/>
        <w:t>Figure 1. The development in the macro-frame (A) and micro-frame (B, C) on alcohol policy in Denmark, 1990-2015.</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201"/>
        <w:gridCol w:w="4002"/>
      </w:tblGrid>
      <w:tr w:rsidR="003E79B4" w:rsidRPr="00AB7FA5" w14:paraId="7C72E618" w14:textId="77777777" w:rsidTr="004A054C">
        <w:tc>
          <w:tcPr>
            <w:tcW w:w="5245" w:type="dxa"/>
            <w:tcBorders>
              <w:top w:val="single" w:sz="4" w:space="0" w:color="auto"/>
              <w:bottom w:val="single" w:sz="4" w:space="0" w:color="auto"/>
            </w:tcBorders>
          </w:tcPr>
          <w:p w14:paraId="2F338FAF" w14:textId="77777777" w:rsidR="003E79B4" w:rsidRPr="00AB7FA5" w:rsidRDefault="003E79B4" w:rsidP="004A054C">
            <w:pPr>
              <w:ind w:left="462"/>
              <w:rPr>
                <w:rFonts w:ascii="Times New Roman" w:hAnsi="Times New Roman" w:cs="Times New Roman"/>
              </w:rPr>
            </w:pPr>
            <w:r>
              <w:rPr>
                <w:rFonts w:ascii="Times New Roman" w:hAnsi="Times New Roman" w:cs="Times New Roman"/>
              </w:rPr>
              <w:t>(</w:t>
            </w:r>
            <w:r w:rsidRPr="00AB7FA5">
              <w:rPr>
                <w:rFonts w:ascii="Times New Roman" w:hAnsi="Times New Roman" w:cs="Times New Roman"/>
              </w:rPr>
              <w:t>A</w:t>
            </w:r>
            <w:r>
              <w:rPr>
                <w:rFonts w:ascii="Times New Roman" w:hAnsi="Times New Roman" w:cs="Times New Roman"/>
              </w:rPr>
              <w:t>)</w:t>
            </w:r>
            <w:r w:rsidRPr="00AB7FA5">
              <w:rPr>
                <w:rFonts w:ascii="Times New Roman" w:hAnsi="Times New Roman" w:cs="Times New Roman"/>
              </w:rPr>
              <w:t xml:space="preserve"> The development in the dominant frame on the issue of alcohol in Denmark 1990-2015.</w:t>
            </w:r>
          </w:p>
        </w:tc>
        <w:tc>
          <w:tcPr>
            <w:tcW w:w="5201" w:type="dxa"/>
            <w:tcBorders>
              <w:top w:val="single" w:sz="4" w:space="0" w:color="auto"/>
              <w:bottom w:val="single" w:sz="4" w:space="0" w:color="auto"/>
            </w:tcBorders>
          </w:tcPr>
          <w:p w14:paraId="681BFCD2" w14:textId="77777777" w:rsidR="003E79B4" w:rsidRPr="00AB7FA5" w:rsidRDefault="003E79B4" w:rsidP="004A054C">
            <w:pPr>
              <w:ind w:left="457"/>
              <w:rPr>
                <w:rFonts w:ascii="Times New Roman" w:hAnsi="Times New Roman" w:cs="Times New Roman"/>
              </w:rPr>
            </w:pPr>
            <w:r>
              <w:rPr>
                <w:rFonts w:ascii="Times New Roman" w:hAnsi="Times New Roman" w:cs="Times New Roman"/>
              </w:rPr>
              <w:t>(</w:t>
            </w:r>
            <w:r w:rsidRPr="00AB7FA5">
              <w:rPr>
                <w:rFonts w:ascii="Times New Roman" w:hAnsi="Times New Roman" w:cs="Times New Roman"/>
              </w:rPr>
              <w:t>B</w:t>
            </w:r>
            <w:r>
              <w:rPr>
                <w:rFonts w:ascii="Times New Roman" w:hAnsi="Times New Roman" w:cs="Times New Roman"/>
              </w:rPr>
              <w:t>)</w:t>
            </w:r>
            <w:r w:rsidRPr="00AB7FA5">
              <w:rPr>
                <w:rFonts w:ascii="Times New Roman" w:hAnsi="Times New Roman" w:cs="Times New Roman"/>
              </w:rPr>
              <w:t xml:space="preserve"> Actors in the media on alcohol stories.</w:t>
            </w:r>
          </w:p>
        </w:tc>
        <w:tc>
          <w:tcPr>
            <w:tcW w:w="4952" w:type="dxa"/>
            <w:tcBorders>
              <w:top w:val="single" w:sz="4" w:space="0" w:color="auto"/>
              <w:bottom w:val="single" w:sz="4" w:space="0" w:color="auto"/>
            </w:tcBorders>
          </w:tcPr>
          <w:p w14:paraId="14BEF2BD" w14:textId="77777777" w:rsidR="003E79B4" w:rsidRPr="00AB7FA5" w:rsidRDefault="003E79B4" w:rsidP="004A054C">
            <w:pPr>
              <w:ind w:left="497"/>
              <w:rPr>
                <w:rFonts w:ascii="Times New Roman" w:hAnsi="Times New Roman" w:cs="Times New Roman"/>
              </w:rPr>
            </w:pPr>
            <w:r>
              <w:rPr>
                <w:rFonts w:ascii="Times New Roman" w:hAnsi="Times New Roman" w:cs="Times New Roman"/>
              </w:rPr>
              <w:t xml:space="preserve">(C) </w:t>
            </w:r>
            <w:r w:rsidRPr="00AB7FA5">
              <w:rPr>
                <w:rFonts w:ascii="Times New Roman" w:hAnsi="Times New Roman" w:cs="Times New Roman"/>
              </w:rPr>
              <w:t>Frame used by the Danish Brewers’ Association.</w:t>
            </w:r>
          </w:p>
        </w:tc>
      </w:tr>
      <w:tr w:rsidR="003E79B4" w:rsidRPr="00AB7FA5" w14:paraId="5E77B4D3" w14:textId="77777777" w:rsidTr="004A054C">
        <w:trPr>
          <w:trHeight w:val="3719"/>
        </w:trPr>
        <w:tc>
          <w:tcPr>
            <w:tcW w:w="5245" w:type="dxa"/>
            <w:tcBorders>
              <w:top w:val="single" w:sz="4" w:space="0" w:color="auto"/>
              <w:bottom w:val="single" w:sz="4" w:space="0" w:color="auto"/>
            </w:tcBorders>
          </w:tcPr>
          <w:p w14:paraId="5EF211B7" w14:textId="77777777" w:rsidR="003E79B4" w:rsidRPr="00AB7FA5" w:rsidRDefault="003E79B4" w:rsidP="004A054C">
            <w:pPr>
              <w:rPr>
                <w:rFonts w:ascii="Times New Roman" w:hAnsi="Times New Roman" w:cs="Times New Roman"/>
              </w:rPr>
            </w:pPr>
            <w:r w:rsidRPr="00AB7FA5">
              <w:rPr>
                <w:rFonts w:ascii="Times New Roman" w:hAnsi="Times New Roman" w:cs="Times New Roman"/>
                <w:noProof/>
                <w:sz w:val="24"/>
                <w:szCs w:val="24"/>
                <w:lang w:val="da-DK" w:eastAsia="da-DK"/>
              </w:rPr>
              <mc:AlternateContent>
                <mc:Choice Requires="wps">
                  <w:drawing>
                    <wp:anchor distT="45720" distB="45720" distL="114300" distR="114300" simplePos="0" relativeHeight="251659264" behindDoc="0" locked="0" layoutInCell="1" allowOverlap="1" wp14:anchorId="732D3F26" wp14:editId="29DC814D">
                      <wp:simplePos x="0" y="0"/>
                      <wp:positionH relativeFrom="margin">
                        <wp:posOffset>-163433</wp:posOffset>
                      </wp:positionH>
                      <wp:positionV relativeFrom="paragraph">
                        <wp:posOffset>270150</wp:posOffset>
                      </wp:positionV>
                      <wp:extent cx="1498600" cy="140462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98600" cy="1404620"/>
                              </a:xfrm>
                              <a:prstGeom prst="rect">
                                <a:avLst/>
                              </a:prstGeom>
                              <a:noFill/>
                              <a:ln w="9525">
                                <a:noFill/>
                                <a:miter lim="800000"/>
                                <a:headEnd/>
                                <a:tailEnd/>
                              </a:ln>
                            </wps:spPr>
                            <wps:txbx>
                              <w:txbxContent>
                                <w:p w14:paraId="0B961DE2" w14:textId="77777777" w:rsidR="003E79B4" w:rsidRPr="008C33BB" w:rsidRDefault="003E79B4" w:rsidP="003E79B4">
                                  <w:pPr>
                                    <w:rPr>
                                      <w:rFonts w:ascii="Times New Roman" w:hAnsi="Times New Roman" w:cs="Times New Roman"/>
                                    </w:rPr>
                                  </w:pPr>
                                  <w:r>
                                    <w:rPr>
                                      <w:rFonts w:ascii="Times New Roman" w:hAnsi="Times New Roman" w:cs="Times New Roman"/>
                                    </w:rPr>
                                    <w:t>Attention</w:t>
                                  </w:r>
                                  <w:r w:rsidRPr="008C33BB">
                                    <w:rPr>
                                      <w:rFonts w:ascii="Times New Roman" w:hAnsi="Times New Roman" w:cs="Times New Roman"/>
                                    </w:rPr>
                                    <w:t xml:space="preserve"> (pct.)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2D3F26" id="_x0000_t202" coordsize="21600,21600" o:spt="202" path="m,l,21600r21600,l21600,xe">
                      <v:stroke joinstyle="miter"/>
                      <v:path gradientshapeok="t" o:connecttype="rect"/>
                    </v:shapetype>
                    <v:shape id="Tekstfelt 2" o:spid="_x0000_s1026" type="#_x0000_t202" style="position:absolute;margin-left:-12.85pt;margin-top:21.25pt;width:118pt;height:110.6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" filled="f" stroked="f">
                      <v:textbox style="mso-fit-shape-to-text:t">
                        <w:txbxContent>
                          <w:p w14:paraId="0B961DE2" w14:textId="77777777" w:rsidR="003E79B4" w:rsidRPr="008C33BB" w:rsidRDefault="003E79B4" w:rsidP="003E79B4">
                            <w:pPr>
                              <w:rPr>
                                <w:rFonts w:ascii="Times New Roman" w:hAnsi="Times New Roman" w:cs="Times New Roman"/>
                              </w:rPr>
                            </w:pPr>
                            <w:r>
                              <w:rPr>
                                <w:rFonts w:ascii="Times New Roman" w:hAnsi="Times New Roman" w:cs="Times New Roman"/>
                              </w:rPr>
                              <w:t>Attention</w:t>
                            </w:r>
                            <w:r w:rsidRPr="008C33BB">
                              <w:rPr>
                                <w:rFonts w:ascii="Times New Roman" w:hAnsi="Times New Roman" w:cs="Times New Roman"/>
                              </w:rPr>
                              <w:t xml:space="preserve"> (pct.)</w:t>
                            </w:r>
                          </w:p>
                        </w:txbxContent>
                      </v:textbox>
                      <w10:wrap anchorx="margin"/>
                    </v:shape>
                  </w:pict>
                </mc:Fallback>
              </mc:AlternateContent>
            </w:r>
            <w:r w:rsidRPr="00AB7FA5">
              <w:rPr>
                <w:rFonts w:ascii="Times New Roman" w:hAnsi="Times New Roman" w:cs="Times New Roman"/>
                <w:noProof/>
                <w:lang w:val="da-DK" w:eastAsia="da-DK"/>
              </w:rPr>
              <w:drawing>
                <wp:inline distT="0" distB="0" distL="0" distR="0" wp14:anchorId="0B59416A" wp14:editId="7A2F3C32">
                  <wp:extent cx="3270578" cy="2395182"/>
                  <wp:effectExtent l="0" t="0" r="635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1499" cy="2403180"/>
                          </a:xfrm>
                          <a:prstGeom prst="rect">
                            <a:avLst/>
                          </a:prstGeom>
                          <a:noFill/>
                          <a:ln>
                            <a:noFill/>
                          </a:ln>
                        </pic:spPr>
                      </pic:pic>
                    </a:graphicData>
                  </a:graphic>
                </wp:inline>
              </w:drawing>
            </w:r>
          </w:p>
        </w:tc>
        <w:tc>
          <w:tcPr>
            <w:tcW w:w="5201" w:type="dxa"/>
            <w:tcBorders>
              <w:top w:val="single" w:sz="4" w:space="0" w:color="auto"/>
              <w:bottom w:val="single" w:sz="4" w:space="0" w:color="auto"/>
            </w:tcBorders>
          </w:tcPr>
          <w:p w14:paraId="079E8202" w14:textId="77777777" w:rsidR="003E79B4" w:rsidRPr="00AB7FA5" w:rsidRDefault="003E79B4" w:rsidP="004A054C">
            <w:pPr>
              <w:rPr>
                <w:rFonts w:ascii="Times New Roman" w:hAnsi="Times New Roman" w:cs="Times New Roman"/>
              </w:rPr>
            </w:pPr>
            <w:r w:rsidRPr="00AB7FA5">
              <w:rPr>
                <w:rFonts w:ascii="Times New Roman" w:hAnsi="Times New Roman" w:cs="Times New Roman"/>
                <w:noProof/>
                <w:lang w:val="da-DK" w:eastAsia="da-DK"/>
              </w:rPr>
              <w:drawing>
                <wp:inline distT="0" distB="0" distL="0" distR="0" wp14:anchorId="01254F51" wp14:editId="0F60815D">
                  <wp:extent cx="3248167" cy="2378661"/>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719" cy="2388585"/>
                          </a:xfrm>
                          <a:prstGeom prst="rect">
                            <a:avLst/>
                          </a:prstGeom>
                          <a:noFill/>
                          <a:ln>
                            <a:noFill/>
                          </a:ln>
                        </pic:spPr>
                      </pic:pic>
                    </a:graphicData>
                  </a:graphic>
                </wp:inline>
              </w:drawing>
            </w:r>
          </w:p>
        </w:tc>
        <w:tc>
          <w:tcPr>
            <w:tcW w:w="4952" w:type="dxa"/>
            <w:tcBorders>
              <w:top w:val="single" w:sz="4" w:space="0" w:color="auto"/>
              <w:bottom w:val="single" w:sz="4" w:space="0" w:color="auto"/>
            </w:tcBorders>
            <w:vAlign w:val="bottom"/>
          </w:tcPr>
          <w:p w14:paraId="66EE491C" w14:textId="77777777" w:rsidR="003E79B4" w:rsidRPr="00AB7FA5" w:rsidRDefault="003E79B4" w:rsidP="004A054C">
            <w:pPr>
              <w:rPr>
                <w:rFonts w:ascii="Times New Roman" w:hAnsi="Times New Roman" w:cs="Times New Roman"/>
              </w:rPr>
            </w:pPr>
            <w:r w:rsidRPr="00AB7FA5">
              <w:rPr>
                <w:rFonts w:ascii="Times New Roman" w:hAnsi="Times New Roman" w:cs="Times New Roman"/>
                <w:noProof/>
                <w:lang w:val="da-DK" w:eastAsia="da-DK"/>
              </w:rPr>
              <w:drawing>
                <wp:inline distT="0" distB="0" distL="0" distR="0" wp14:anchorId="044F8357" wp14:editId="796E4235">
                  <wp:extent cx="3082474" cy="2257425"/>
                  <wp:effectExtent l="0" t="0" r="381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7793" cy="2290614"/>
                          </a:xfrm>
                          <a:prstGeom prst="rect">
                            <a:avLst/>
                          </a:prstGeom>
                          <a:noFill/>
                          <a:ln>
                            <a:noFill/>
                          </a:ln>
                        </pic:spPr>
                      </pic:pic>
                    </a:graphicData>
                  </a:graphic>
                </wp:inline>
              </w:drawing>
            </w:r>
          </w:p>
        </w:tc>
      </w:tr>
      <w:tr w:rsidR="003E79B4" w:rsidRPr="00AB7FA5" w14:paraId="257C09AE" w14:textId="77777777" w:rsidTr="004A054C">
        <w:tc>
          <w:tcPr>
            <w:tcW w:w="5245" w:type="dxa"/>
            <w:tcBorders>
              <w:top w:val="single" w:sz="4" w:space="0" w:color="auto"/>
              <w:bottom w:val="single" w:sz="4" w:space="0" w:color="auto"/>
            </w:tcBorders>
          </w:tcPr>
          <w:p w14:paraId="3160F3F2" w14:textId="77777777" w:rsidR="003E79B4" w:rsidRPr="00AB7FA5" w:rsidRDefault="003E79B4" w:rsidP="004A054C">
            <w:pPr>
              <w:ind w:left="462"/>
              <w:rPr>
                <w:rFonts w:ascii="Times New Roman" w:hAnsi="Times New Roman" w:cs="Times New Roman"/>
              </w:rPr>
            </w:pPr>
            <w:r w:rsidRPr="00AB7FA5">
              <w:rPr>
                <w:rFonts w:ascii="Times New Roman" w:hAnsi="Times New Roman" w:cs="Times New Roman"/>
              </w:rPr>
              <w:t xml:space="preserve">Note: The solid line marks the danger frame. The dashed line marks the business frame. </w:t>
            </w:r>
          </w:p>
        </w:tc>
        <w:tc>
          <w:tcPr>
            <w:tcW w:w="5201" w:type="dxa"/>
            <w:tcBorders>
              <w:top w:val="single" w:sz="4" w:space="0" w:color="auto"/>
              <w:bottom w:val="single" w:sz="4" w:space="0" w:color="auto"/>
            </w:tcBorders>
          </w:tcPr>
          <w:p w14:paraId="6F7B56F7" w14:textId="77777777" w:rsidR="003E79B4" w:rsidRPr="00AB7FA5" w:rsidRDefault="003E79B4" w:rsidP="004A054C">
            <w:pPr>
              <w:ind w:left="457"/>
              <w:rPr>
                <w:rFonts w:ascii="Times New Roman" w:hAnsi="Times New Roman" w:cs="Times New Roman"/>
              </w:rPr>
            </w:pPr>
            <w:r w:rsidRPr="00AB7FA5">
              <w:rPr>
                <w:rFonts w:ascii="Times New Roman" w:hAnsi="Times New Roman" w:cs="Times New Roman"/>
              </w:rPr>
              <w:t xml:space="preserve">Note: Commercial actors (solid line). Experts (dashed line). Users (dotted line). Social-medical actors (dash-dot line). </w:t>
            </w:r>
          </w:p>
        </w:tc>
        <w:tc>
          <w:tcPr>
            <w:tcW w:w="4952" w:type="dxa"/>
            <w:tcBorders>
              <w:top w:val="single" w:sz="4" w:space="0" w:color="auto"/>
              <w:bottom w:val="single" w:sz="4" w:space="0" w:color="auto"/>
            </w:tcBorders>
          </w:tcPr>
          <w:p w14:paraId="69C42994" w14:textId="77777777" w:rsidR="003E79B4" w:rsidRPr="00AB7FA5" w:rsidRDefault="003E79B4" w:rsidP="004A054C">
            <w:pPr>
              <w:ind w:left="497"/>
              <w:rPr>
                <w:rFonts w:ascii="Times New Roman" w:hAnsi="Times New Roman" w:cs="Times New Roman"/>
                <w:i/>
              </w:rPr>
            </w:pPr>
            <w:r w:rsidRPr="00AB7FA5">
              <w:rPr>
                <w:rFonts w:ascii="Times New Roman" w:hAnsi="Times New Roman" w:cs="Times New Roman"/>
              </w:rPr>
              <w:t>Note: Business frame (solid line). Danger frame (dashed line).</w:t>
            </w:r>
          </w:p>
        </w:tc>
      </w:tr>
    </w:tbl>
    <w:p w14:paraId="228C15CE" w14:textId="77777777" w:rsidR="003E79B4" w:rsidRDefault="003E79B4" w:rsidP="003E79B4"/>
    <w:p w14:paraId="2BF6DA76" w14:textId="77777777" w:rsidR="003E79B4" w:rsidRDefault="003E79B4" w:rsidP="00026491">
      <w:pPr>
        <w:rPr>
          <w:lang w:val="en-GB"/>
        </w:rPr>
        <w:sectPr w:rsidR="003E79B4" w:rsidSect="003E79B4">
          <w:pgSz w:w="15840" w:h="12240" w:orient="landscape"/>
          <w:pgMar w:top="1134" w:right="1701" w:bottom="1134" w:left="1701" w:header="709" w:footer="709" w:gutter="0"/>
          <w:cols w:space="708"/>
          <w:docGrid w:linePitch="360"/>
        </w:sectPr>
      </w:pPr>
    </w:p>
    <w:p w14:paraId="25E11655" w14:textId="77777777" w:rsidR="003E79B4" w:rsidRDefault="003E79B4" w:rsidP="003E79B4">
      <w:pPr>
        <w:spacing w:after="0" w:line="480" w:lineRule="auto"/>
        <w:jc w:val="center"/>
        <w:rPr>
          <w:rFonts w:ascii="Times New Roman" w:hAnsi="Times New Roman" w:cs="Times New Roman"/>
          <w:b/>
          <w:sz w:val="24"/>
          <w:szCs w:val="24"/>
          <w:lang w:val="en-GB"/>
        </w:rPr>
      </w:pPr>
    </w:p>
    <w:p w14:paraId="472288BB" w14:textId="77777777" w:rsidR="003E79B4" w:rsidRPr="008B052B" w:rsidRDefault="003E79B4" w:rsidP="003E79B4">
      <w:pPr>
        <w:spacing w:after="0" w:line="480" w:lineRule="auto"/>
        <w:jc w:val="center"/>
        <w:rPr>
          <w:rFonts w:ascii="Times New Roman" w:hAnsi="Times New Roman" w:cs="Times New Roman"/>
          <w:b/>
          <w:sz w:val="28"/>
          <w:szCs w:val="28"/>
          <w:lang w:val="en-GB"/>
        </w:rPr>
      </w:pPr>
      <w:r w:rsidRPr="008B052B">
        <w:rPr>
          <w:rFonts w:ascii="Times New Roman" w:hAnsi="Times New Roman" w:cs="Times New Roman"/>
          <w:b/>
          <w:sz w:val="28"/>
          <w:szCs w:val="28"/>
          <w:lang w:val="en-GB"/>
        </w:rPr>
        <w:t>On the enemy’s turf: Exploring the link between macro- and micro-framing in interest group communication</w:t>
      </w:r>
    </w:p>
    <w:p w14:paraId="12E43D36" w14:textId="77777777" w:rsidR="003E79B4" w:rsidRDefault="003E79B4" w:rsidP="003E79B4">
      <w:pPr>
        <w:spacing w:after="0"/>
        <w:jc w:val="center"/>
        <w:rPr>
          <w:rFonts w:ascii="Times New Roman" w:hAnsi="Times New Roman" w:cs="Times New Roman"/>
          <w:b/>
        </w:rPr>
      </w:pPr>
    </w:p>
    <w:p w14:paraId="590CFAD6" w14:textId="77777777" w:rsidR="003E79B4" w:rsidRPr="005019CA" w:rsidRDefault="003E79B4" w:rsidP="003E79B4">
      <w:pPr>
        <w:spacing w:after="0" w:line="480" w:lineRule="auto"/>
        <w:jc w:val="center"/>
        <w:rPr>
          <w:rFonts w:ascii="Times New Roman" w:hAnsi="Times New Roman" w:cs="Times New Roman"/>
          <w:i/>
          <w:sz w:val="24"/>
          <w:szCs w:val="24"/>
        </w:rPr>
      </w:pPr>
    </w:p>
    <w:p w14:paraId="61FFC2C0" w14:textId="77777777" w:rsidR="003E79B4" w:rsidRPr="00113898" w:rsidRDefault="003E79B4" w:rsidP="003E79B4">
      <w:pPr>
        <w:spacing w:after="0" w:line="480" w:lineRule="auto"/>
        <w:jc w:val="center"/>
        <w:rPr>
          <w:rFonts w:ascii="Times New Roman" w:hAnsi="Times New Roman" w:cs="Times New Roman"/>
          <w:i/>
          <w:sz w:val="24"/>
          <w:szCs w:val="24"/>
          <w:lang w:val="da-DK"/>
        </w:rPr>
      </w:pPr>
      <w:r w:rsidRPr="00113898">
        <w:rPr>
          <w:rFonts w:ascii="Times New Roman" w:hAnsi="Times New Roman" w:cs="Times New Roman"/>
          <w:i/>
          <w:sz w:val="24"/>
          <w:szCs w:val="24"/>
          <w:lang w:val="da-DK"/>
        </w:rPr>
        <w:t>Carsten Jensen</w:t>
      </w:r>
    </w:p>
    <w:p w14:paraId="2BDF25E1" w14:textId="77777777" w:rsidR="003E79B4" w:rsidRPr="00113898" w:rsidRDefault="003E79B4" w:rsidP="003E79B4">
      <w:pPr>
        <w:spacing w:after="0" w:line="480" w:lineRule="auto"/>
        <w:jc w:val="center"/>
        <w:rPr>
          <w:rFonts w:ascii="Times New Roman" w:hAnsi="Times New Roman" w:cs="Times New Roman"/>
          <w:i/>
          <w:sz w:val="24"/>
          <w:szCs w:val="24"/>
          <w:lang w:val="da-DK"/>
        </w:rPr>
      </w:pPr>
      <w:hyperlink r:id="rId16" w:history="1">
        <w:r w:rsidRPr="00113898">
          <w:rPr>
            <w:rStyle w:val="Hyperlink"/>
            <w:rFonts w:ascii="Times New Roman" w:hAnsi="Times New Roman" w:cs="Times New Roman"/>
            <w:i/>
            <w:sz w:val="24"/>
            <w:szCs w:val="24"/>
            <w:lang w:val="da-DK"/>
          </w:rPr>
          <w:t>carstenj@ps.au.dk</w:t>
        </w:r>
      </w:hyperlink>
    </w:p>
    <w:p w14:paraId="2ABCF252" w14:textId="77777777" w:rsidR="003E79B4" w:rsidRPr="00113898" w:rsidRDefault="003E79B4" w:rsidP="003E79B4">
      <w:pPr>
        <w:spacing w:after="0" w:line="480" w:lineRule="auto"/>
        <w:jc w:val="center"/>
        <w:rPr>
          <w:rFonts w:ascii="Times New Roman" w:hAnsi="Times New Roman" w:cs="Times New Roman"/>
          <w:i/>
          <w:sz w:val="24"/>
          <w:szCs w:val="24"/>
        </w:rPr>
      </w:pPr>
      <w:r w:rsidRPr="00113898">
        <w:rPr>
          <w:rFonts w:ascii="Times New Roman" w:hAnsi="Times New Roman" w:cs="Times New Roman"/>
          <w:i/>
          <w:sz w:val="24"/>
          <w:szCs w:val="24"/>
        </w:rPr>
        <w:t>Aarhus University</w:t>
      </w:r>
    </w:p>
    <w:p w14:paraId="2DA8F581" w14:textId="77777777" w:rsidR="003E79B4" w:rsidRPr="00113898" w:rsidRDefault="003E79B4" w:rsidP="003E79B4">
      <w:pPr>
        <w:spacing w:after="0" w:line="480" w:lineRule="auto"/>
        <w:jc w:val="center"/>
        <w:rPr>
          <w:rFonts w:ascii="Times New Roman" w:hAnsi="Times New Roman" w:cs="Times New Roman"/>
          <w:i/>
          <w:sz w:val="24"/>
          <w:szCs w:val="24"/>
        </w:rPr>
      </w:pPr>
    </w:p>
    <w:p w14:paraId="45DF14CE" w14:textId="77777777" w:rsidR="003E79B4" w:rsidRPr="00113898" w:rsidRDefault="003E79B4" w:rsidP="003E79B4">
      <w:pPr>
        <w:spacing w:after="0" w:line="480" w:lineRule="auto"/>
        <w:jc w:val="center"/>
        <w:rPr>
          <w:rFonts w:ascii="Times New Roman" w:hAnsi="Times New Roman" w:cs="Times New Roman"/>
          <w:i/>
          <w:sz w:val="24"/>
          <w:szCs w:val="24"/>
        </w:rPr>
      </w:pPr>
      <w:r w:rsidRPr="00113898">
        <w:rPr>
          <w:rFonts w:ascii="Times New Roman" w:hAnsi="Times New Roman" w:cs="Times New Roman"/>
          <w:i/>
          <w:sz w:val="24"/>
          <w:szCs w:val="24"/>
        </w:rPr>
        <w:t>Henrik Bech Seeberg</w:t>
      </w:r>
    </w:p>
    <w:p w14:paraId="1A2DEC7E" w14:textId="77777777" w:rsidR="003E79B4" w:rsidRPr="00113898" w:rsidRDefault="003E79B4" w:rsidP="003E79B4">
      <w:pPr>
        <w:spacing w:after="0" w:line="480" w:lineRule="auto"/>
        <w:jc w:val="center"/>
        <w:rPr>
          <w:rFonts w:ascii="Times New Roman" w:hAnsi="Times New Roman" w:cs="Times New Roman"/>
          <w:i/>
          <w:sz w:val="24"/>
          <w:szCs w:val="24"/>
        </w:rPr>
      </w:pPr>
      <w:hyperlink r:id="rId17" w:history="1">
        <w:r w:rsidRPr="00113898">
          <w:rPr>
            <w:rStyle w:val="Hyperlink"/>
            <w:rFonts w:ascii="Times New Roman" w:hAnsi="Times New Roman" w:cs="Times New Roman"/>
            <w:i/>
            <w:sz w:val="24"/>
            <w:szCs w:val="24"/>
          </w:rPr>
          <w:t>h.seeberg@ps.au.dk</w:t>
        </w:r>
      </w:hyperlink>
    </w:p>
    <w:p w14:paraId="6ED66674" w14:textId="77777777" w:rsidR="003E79B4" w:rsidRDefault="003E79B4" w:rsidP="003E79B4">
      <w:pPr>
        <w:jc w:val="center"/>
      </w:pPr>
      <w:r w:rsidRPr="00113898">
        <w:rPr>
          <w:rFonts w:ascii="Times New Roman" w:hAnsi="Times New Roman" w:cs="Times New Roman"/>
          <w:i/>
          <w:sz w:val="24"/>
          <w:szCs w:val="24"/>
        </w:rPr>
        <w:t>Aarhus University</w:t>
      </w:r>
    </w:p>
    <w:p w14:paraId="32255153" w14:textId="77777777" w:rsidR="003E79B4" w:rsidRDefault="003E79B4" w:rsidP="003E79B4">
      <w:pPr>
        <w:spacing w:after="0"/>
        <w:jc w:val="center"/>
        <w:rPr>
          <w:rFonts w:ascii="Times New Roman" w:hAnsi="Times New Roman" w:cs="Times New Roman"/>
          <w:b/>
        </w:rPr>
      </w:pPr>
    </w:p>
    <w:p w14:paraId="5CADA741" w14:textId="77777777" w:rsidR="003E79B4" w:rsidRDefault="003E79B4" w:rsidP="003E79B4">
      <w:pPr>
        <w:spacing w:after="0"/>
        <w:jc w:val="center"/>
        <w:rPr>
          <w:rFonts w:ascii="Times New Roman" w:hAnsi="Times New Roman" w:cs="Times New Roman"/>
          <w:b/>
        </w:rPr>
      </w:pPr>
    </w:p>
    <w:p w14:paraId="0CF65B1B" w14:textId="77777777" w:rsidR="003E79B4" w:rsidRPr="008B052B" w:rsidRDefault="003E79B4" w:rsidP="003E79B4">
      <w:pPr>
        <w:spacing w:after="0"/>
        <w:jc w:val="center"/>
        <w:rPr>
          <w:rFonts w:ascii="Times New Roman" w:hAnsi="Times New Roman" w:cs="Times New Roman"/>
          <w:b/>
          <w:sz w:val="28"/>
          <w:szCs w:val="28"/>
        </w:rPr>
      </w:pPr>
      <w:r w:rsidRPr="008B052B">
        <w:rPr>
          <w:rFonts w:ascii="Times New Roman" w:hAnsi="Times New Roman" w:cs="Times New Roman"/>
          <w:b/>
          <w:sz w:val="28"/>
          <w:szCs w:val="28"/>
        </w:rPr>
        <w:t>Online Appendix</w:t>
      </w:r>
    </w:p>
    <w:p w14:paraId="6211E343" w14:textId="77777777" w:rsidR="003E79B4" w:rsidRDefault="003E79B4" w:rsidP="003E79B4">
      <w:pPr>
        <w:spacing w:after="0"/>
        <w:jc w:val="center"/>
        <w:rPr>
          <w:rFonts w:ascii="Times New Roman" w:hAnsi="Times New Roman" w:cs="Times New Roman"/>
        </w:rPr>
      </w:pPr>
    </w:p>
    <w:p w14:paraId="634873FA" w14:textId="77777777" w:rsidR="003E79B4" w:rsidRDefault="003E79B4" w:rsidP="003E79B4">
      <w:pPr>
        <w:rPr>
          <w:rFonts w:ascii="Times New Roman" w:hAnsi="Times New Roman" w:cs="Times New Roman"/>
        </w:rPr>
      </w:pPr>
      <w:r>
        <w:rPr>
          <w:rFonts w:ascii="Times New Roman" w:hAnsi="Times New Roman" w:cs="Times New Roman"/>
        </w:rPr>
        <w:br w:type="page"/>
      </w:r>
    </w:p>
    <w:p w14:paraId="6D963A93" w14:textId="77777777" w:rsidR="003E79B4" w:rsidRPr="00113898" w:rsidRDefault="003E79B4" w:rsidP="003E79B4">
      <w:pPr>
        <w:spacing w:after="0"/>
        <w:rPr>
          <w:rFonts w:ascii="Times New Roman" w:hAnsi="Times New Roman" w:cs="Times New Roman"/>
        </w:rPr>
      </w:pPr>
      <w:r w:rsidRPr="00113898">
        <w:rPr>
          <w:rFonts w:ascii="Times New Roman" w:hAnsi="Times New Roman" w:cs="Times New Roman"/>
        </w:rPr>
        <w:lastRenderedPageBreak/>
        <w:t xml:space="preserve">Figure </w:t>
      </w:r>
      <w:r>
        <w:rPr>
          <w:rFonts w:ascii="Times New Roman" w:hAnsi="Times New Roman" w:cs="Times New Roman"/>
        </w:rPr>
        <w:t>A1</w:t>
      </w:r>
      <w:r w:rsidRPr="00113898">
        <w:rPr>
          <w:rFonts w:ascii="Times New Roman" w:hAnsi="Times New Roman" w:cs="Times New Roman"/>
        </w:rPr>
        <w:t>. Calls for policy change</w:t>
      </w:r>
    </w:p>
    <w:p w14:paraId="375203CD" w14:textId="77777777" w:rsidR="003E79B4" w:rsidRPr="00113898" w:rsidRDefault="003E79B4" w:rsidP="003E79B4">
      <w:pPr>
        <w:spacing w:after="0"/>
        <w:rPr>
          <w:rFonts w:ascii="Times New Roman" w:hAnsi="Times New Roman" w:cs="Times New Roman"/>
        </w:rPr>
      </w:pPr>
      <w:r w:rsidRPr="008C33BB">
        <w:rPr>
          <w:rFonts w:ascii="Times New Roman" w:hAnsi="Times New Roman" w:cs="Times New Roman"/>
          <w:noProof/>
          <w:sz w:val="24"/>
          <w:szCs w:val="24"/>
          <w:lang w:val="da-DK" w:eastAsia="da-DK"/>
        </w:rPr>
        <mc:AlternateContent>
          <mc:Choice Requires="wps">
            <w:drawing>
              <wp:anchor distT="45720" distB="45720" distL="114300" distR="114300" simplePos="0" relativeHeight="251662336" behindDoc="0" locked="0" layoutInCell="1" allowOverlap="1" wp14:anchorId="0EFFD007" wp14:editId="06DC5079">
                <wp:simplePos x="0" y="0"/>
                <wp:positionH relativeFrom="margin">
                  <wp:posOffset>-171450</wp:posOffset>
                </wp:positionH>
                <wp:positionV relativeFrom="paragraph">
                  <wp:posOffset>265430</wp:posOffset>
                </wp:positionV>
                <wp:extent cx="1498600" cy="140462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98600" cy="1404620"/>
                        </a:xfrm>
                        <a:prstGeom prst="rect">
                          <a:avLst/>
                        </a:prstGeom>
                        <a:noFill/>
                        <a:ln w="9525">
                          <a:noFill/>
                          <a:miter lim="800000"/>
                          <a:headEnd/>
                          <a:tailEnd/>
                        </a:ln>
                      </wps:spPr>
                      <wps:txbx>
                        <w:txbxContent>
                          <w:p w14:paraId="400E9FD0" w14:textId="77777777" w:rsidR="003E79B4" w:rsidRPr="008C33BB" w:rsidRDefault="003E79B4" w:rsidP="003E79B4">
                            <w:pPr>
                              <w:rPr>
                                <w:rFonts w:ascii="Times New Roman" w:hAnsi="Times New Roman" w:cs="Times New Roman"/>
                              </w:rPr>
                            </w:pPr>
                            <w:r>
                              <w:rPr>
                                <w:rFonts w:ascii="Times New Roman" w:hAnsi="Times New Roman" w:cs="Times New Roman"/>
                              </w:rPr>
                              <w:t>Attention</w:t>
                            </w:r>
                            <w:r w:rsidRPr="008C33BB">
                              <w:rPr>
                                <w:rFonts w:ascii="Times New Roman" w:hAnsi="Times New Roman" w:cs="Times New Roman"/>
                              </w:rPr>
                              <w:t xml:space="preserve"> (pct.)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FFD007" id="_x0000_s1027" type="#_x0000_t202" style="position:absolute;margin-left:-13.5pt;margin-top:20.9pt;width:118pt;height:110.6pt;rotation:-90;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" filled="f" stroked="f">
                <v:textbox style="mso-fit-shape-to-text:t">
                  <w:txbxContent>
                    <w:p w14:paraId="400E9FD0" w14:textId="77777777" w:rsidR="003E79B4" w:rsidRPr="008C33BB" w:rsidRDefault="003E79B4" w:rsidP="003E79B4">
                      <w:pPr>
                        <w:rPr>
                          <w:rFonts w:ascii="Times New Roman" w:hAnsi="Times New Roman" w:cs="Times New Roman"/>
                        </w:rPr>
                      </w:pPr>
                      <w:r>
                        <w:rPr>
                          <w:rFonts w:ascii="Times New Roman" w:hAnsi="Times New Roman" w:cs="Times New Roman"/>
                        </w:rPr>
                        <w:t>Attention</w:t>
                      </w:r>
                      <w:r w:rsidRPr="008C33BB">
                        <w:rPr>
                          <w:rFonts w:ascii="Times New Roman" w:hAnsi="Times New Roman" w:cs="Times New Roman"/>
                        </w:rPr>
                        <w:t xml:space="preserve"> (pct.)</w:t>
                      </w:r>
                    </w:p>
                  </w:txbxContent>
                </v:textbox>
                <w10:wrap anchorx="margin"/>
              </v:shape>
            </w:pict>
          </mc:Fallback>
        </mc:AlternateContent>
      </w:r>
      <w:r w:rsidRPr="00113898">
        <w:rPr>
          <w:rFonts w:ascii="Times New Roman" w:hAnsi="Times New Roman" w:cs="Times New Roman"/>
          <w:noProof/>
          <w:lang w:val="da-DK" w:eastAsia="da-DK"/>
        </w:rPr>
        <w:drawing>
          <wp:inline distT="0" distB="0" distL="0" distR="0" wp14:anchorId="4D07E0B6" wp14:editId="42448D25">
            <wp:extent cx="3082615" cy="2257425"/>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0738" cy="2292666"/>
                    </a:xfrm>
                    <a:prstGeom prst="rect">
                      <a:avLst/>
                    </a:prstGeom>
                    <a:noFill/>
                    <a:ln>
                      <a:noFill/>
                    </a:ln>
                  </pic:spPr>
                </pic:pic>
              </a:graphicData>
            </a:graphic>
          </wp:inline>
        </w:drawing>
      </w:r>
    </w:p>
    <w:p w14:paraId="6068A69D" w14:textId="77777777" w:rsidR="003E79B4" w:rsidRPr="00113898" w:rsidRDefault="003E79B4" w:rsidP="003E79B4">
      <w:pPr>
        <w:spacing w:after="0"/>
        <w:rPr>
          <w:rFonts w:ascii="Times New Roman" w:hAnsi="Times New Roman" w:cs="Times New Roman"/>
        </w:rPr>
      </w:pPr>
      <w:r w:rsidRPr="00113898">
        <w:rPr>
          <w:rFonts w:ascii="Times New Roman" w:hAnsi="Times New Roman" w:cs="Times New Roman"/>
        </w:rPr>
        <w:t xml:space="preserve">Note: </w:t>
      </w:r>
      <w:r>
        <w:rPr>
          <w:rFonts w:ascii="Times New Roman" w:hAnsi="Times New Roman" w:cs="Times New Roman"/>
        </w:rPr>
        <w:t>C</w:t>
      </w:r>
      <w:r w:rsidRPr="00113898">
        <w:rPr>
          <w:rFonts w:ascii="Times New Roman" w:hAnsi="Times New Roman" w:cs="Times New Roman"/>
        </w:rPr>
        <w:t>alls to liberalize</w:t>
      </w:r>
      <w:r>
        <w:rPr>
          <w:rFonts w:ascii="Times New Roman" w:hAnsi="Times New Roman" w:cs="Times New Roman"/>
        </w:rPr>
        <w:t xml:space="preserve"> (</w:t>
      </w:r>
      <w:r w:rsidRPr="00113898">
        <w:rPr>
          <w:rFonts w:ascii="Times New Roman" w:hAnsi="Times New Roman" w:cs="Times New Roman"/>
        </w:rPr>
        <w:t>solid line</w:t>
      </w:r>
      <w:r>
        <w:rPr>
          <w:rFonts w:ascii="Times New Roman" w:hAnsi="Times New Roman" w:cs="Times New Roman"/>
        </w:rPr>
        <w:t>)</w:t>
      </w:r>
      <w:r w:rsidRPr="00113898">
        <w:rPr>
          <w:rFonts w:ascii="Times New Roman" w:hAnsi="Times New Roman" w:cs="Times New Roman"/>
        </w:rPr>
        <w:t xml:space="preserve">. </w:t>
      </w:r>
      <w:r>
        <w:rPr>
          <w:rFonts w:ascii="Times New Roman" w:hAnsi="Times New Roman" w:cs="Times New Roman"/>
        </w:rPr>
        <w:t>C</w:t>
      </w:r>
      <w:r w:rsidRPr="00113898">
        <w:rPr>
          <w:rFonts w:ascii="Times New Roman" w:hAnsi="Times New Roman" w:cs="Times New Roman"/>
        </w:rPr>
        <w:t>alls for status quo</w:t>
      </w:r>
      <w:r>
        <w:rPr>
          <w:rFonts w:ascii="Times New Roman" w:hAnsi="Times New Roman" w:cs="Times New Roman"/>
        </w:rPr>
        <w:t xml:space="preserve"> (dashed </w:t>
      </w:r>
      <w:r w:rsidRPr="00113898">
        <w:rPr>
          <w:rFonts w:ascii="Times New Roman" w:hAnsi="Times New Roman" w:cs="Times New Roman"/>
        </w:rPr>
        <w:t>line</w:t>
      </w:r>
      <w:r>
        <w:rPr>
          <w:rFonts w:ascii="Times New Roman" w:hAnsi="Times New Roman" w:cs="Times New Roman"/>
        </w:rPr>
        <w:t>)</w:t>
      </w:r>
      <w:r w:rsidRPr="00113898">
        <w:rPr>
          <w:rFonts w:ascii="Times New Roman" w:hAnsi="Times New Roman" w:cs="Times New Roman"/>
        </w:rPr>
        <w:t xml:space="preserve">. </w:t>
      </w:r>
      <w:r>
        <w:rPr>
          <w:rFonts w:ascii="Times New Roman" w:hAnsi="Times New Roman" w:cs="Times New Roman"/>
        </w:rPr>
        <w:t>C</w:t>
      </w:r>
      <w:r w:rsidRPr="00113898">
        <w:rPr>
          <w:rFonts w:ascii="Times New Roman" w:hAnsi="Times New Roman" w:cs="Times New Roman"/>
        </w:rPr>
        <w:t>alls for restrictions</w:t>
      </w:r>
      <w:r>
        <w:rPr>
          <w:rFonts w:ascii="Times New Roman" w:hAnsi="Times New Roman" w:cs="Times New Roman"/>
        </w:rPr>
        <w:t xml:space="preserve"> (</w:t>
      </w:r>
      <w:r w:rsidRPr="00113898">
        <w:rPr>
          <w:rFonts w:ascii="Times New Roman" w:hAnsi="Times New Roman" w:cs="Times New Roman"/>
        </w:rPr>
        <w:t>dotted line</w:t>
      </w:r>
      <w:r>
        <w:rPr>
          <w:rFonts w:ascii="Times New Roman" w:hAnsi="Times New Roman" w:cs="Times New Roman"/>
        </w:rPr>
        <w:t>)</w:t>
      </w:r>
      <w:r w:rsidRPr="00113898">
        <w:rPr>
          <w:rFonts w:ascii="Times New Roman" w:hAnsi="Times New Roman" w:cs="Times New Roman"/>
        </w:rPr>
        <w:t xml:space="preserve">. </w:t>
      </w:r>
    </w:p>
    <w:p w14:paraId="29CCB864" w14:textId="77777777" w:rsidR="003E79B4" w:rsidRDefault="003E79B4" w:rsidP="003E79B4"/>
    <w:p w14:paraId="2DCAA8A0" w14:textId="77777777" w:rsidR="003E79B4" w:rsidRDefault="003E79B4" w:rsidP="003E79B4">
      <w:pPr>
        <w:rPr>
          <w:rFonts w:ascii="Times New Roman" w:hAnsi="Times New Roman" w:cs="Times New Roman"/>
        </w:rPr>
      </w:pPr>
      <w:r>
        <w:rPr>
          <w:rFonts w:ascii="Times New Roman" w:hAnsi="Times New Roman" w:cs="Times New Roman"/>
        </w:rPr>
        <w:br w:type="page"/>
      </w:r>
    </w:p>
    <w:p w14:paraId="52B3C2DD" w14:textId="77777777" w:rsidR="003E79B4" w:rsidRPr="00113898" w:rsidRDefault="003E79B4" w:rsidP="003E79B4">
      <w:pPr>
        <w:spacing w:after="0"/>
        <w:rPr>
          <w:rFonts w:ascii="Times New Roman" w:hAnsi="Times New Roman" w:cs="Times New Roman"/>
        </w:rPr>
      </w:pPr>
      <w:r w:rsidRPr="00113898">
        <w:rPr>
          <w:rFonts w:ascii="Times New Roman" w:hAnsi="Times New Roman" w:cs="Times New Roman"/>
        </w:rPr>
        <w:lastRenderedPageBreak/>
        <w:t xml:space="preserve">Table </w:t>
      </w:r>
      <w:r>
        <w:rPr>
          <w:rFonts w:ascii="Times New Roman" w:hAnsi="Times New Roman" w:cs="Times New Roman"/>
        </w:rPr>
        <w:t>A1</w:t>
      </w:r>
      <w:r w:rsidRPr="00113898">
        <w:rPr>
          <w:rFonts w:ascii="Times New Roman" w:hAnsi="Times New Roman" w:cs="Times New Roman"/>
        </w:rPr>
        <w:t>. Policy changes (adopted laws) on alcohol.</w:t>
      </w:r>
    </w:p>
    <w:tbl>
      <w:tblPr>
        <w:tblStyle w:val="Tabel-Gitter"/>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
        <w:gridCol w:w="681"/>
        <w:gridCol w:w="7285"/>
        <w:gridCol w:w="992"/>
      </w:tblGrid>
      <w:tr w:rsidR="003E79B4" w:rsidRPr="00113898" w14:paraId="7E786F03" w14:textId="77777777" w:rsidTr="004A054C">
        <w:trPr>
          <w:trHeight w:val="345"/>
        </w:trPr>
        <w:tc>
          <w:tcPr>
            <w:tcW w:w="681" w:type="dxa"/>
            <w:tcBorders>
              <w:top w:val="single" w:sz="4" w:space="0" w:color="auto"/>
              <w:bottom w:val="single" w:sz="4" w:space="0" w:color="auto"/>
            </w:tcBorders>
          </w:tcPr>
          <w:p w14:paraId="55476FBA" w14:textId="77777777" w:rsidR="003E79B4" w:rsidRPr="00113898" w:rsidRDefault="003E79B4" w:rsidP="004A054C">
            <w:pPr>
              <w:rPr>
                <w:rFonts w:ascii="Times New Roman" w:hAnsi="Times New Roman" w:cs="Times New Roman"/>
                <w:b/>
              </w:rPr>
            </w:pPr>
            <w:r w:rsidRPr="00113898">
              <w:rPr>
                <w:rFonts w:ascii="Times New Roman" w:hAnsi="Times New Roman" w:cs="Times New Roman"/>
                <w:b/>
              </w:rPr>
              <w:t>Year</w:t>
            </w:r>
          </w:p>
        </w:tc>
        <w:tc>
          <w:tcPr>
            <w:tcW w:w="681" w:type="dxa"/>
            <w:tcBorders>
              <w:top w:val="single" w:sz="4" w:space="0" w:color="auto"/>
              <w:bottom w:val="single" w:sz="4" w:space="0" w:color="auto"/>
            </w:tcBorders>
          </w:tcPr>
          <w:p w14:paraId="30960B70" w14:textId="77777777" w:rsidR="003E79B4" w:rsidRPr="00113898" w:rsidRDefault="003E79B4" w:rsidP="004A054C">
            <w:pPr>
              <w:rPr>
                <w:rFonts w:ascii="Times New Roman" w:hAnsi="Times New Roman" w:cs="Times New Roman"/>
                <w:b/>
              </w:rPr>
            </w:pPr>
            <w:r w:rsidRPr="00113898">
              <w:rPr>
                <w:rFonts w:ascii="Times New Roman" w:hAnsi="Times New Roman" w:cs="Times New Roman"/>
                <w:b/>
              </w:rPr>
              <w:t>ID</w:t>
            </w:r>
          </w:p>
        </w:tc>
        <w:tc>
          <w:tcPr>
            <w:tcW w:w="7285" w:type="dxa"/>
            <w:tcBorders>
              <w:top w:val="single" w:sz="4" w:space="0" w:color="auto"/>
              <w:bottom w:val="single" w:sz="4" w:space="0" w:color="auto"/>
            </w:tcBorders>
          </w:tcPr>
          <w:p w14:paraId="07418B80" w14:textId="77777777" w:rsidR="003E79B4" w:rsidRPr="00113898" w:rsidRDefault="003E79B4" w:rsidP="004A054C">
            <w:pPr>
              <w:rPr>
                <w:rFonts w:ascii="Times New Roman" w:hAnsi="Times New Roman" w:cs="Times New Roman"/>
                <w:b/>
              </w:rPr>
            </w:pPr>
            <w:r w:rsidRPr="00113898">
              <w:rPr>
                <w:rFonts w:ascii="Times New Roman" w:hAnsi="Times New Roman" w:cs="Times New Roman"/>
                <w:b/>
              </w:rPr>
              <w:t>Content</w:t>
            </w:r>
          </w:p>
        </w:tc>
        <w:tc>
          <w:tcPr>
            <w:tcW w:w="992" w:type="dxa"/>
            <w:tcBorders>
              <w:top w:val="single" w:sz="4" w:space="0" w:color="auto"/>
              <w:bottom w:val="single" w:sz="4" w:space="0" w:color="auto"/>
            </w:tcBorders>
          </w:tcPr>
          <w:p w14:paraId="78916FBC" w14:textId="77777777" w:rsidR="003E79B4" w:rsidRPr="00113898" w:rsidRDefault="003E79B4" w:rsidP="004A054C">
            <w:pPr>
              <w:rPr>
                <w:rFonts w:ascii="Times New Roman" w:hAnsi="Times New Roman" w:cs="Times New Roman"/>
                <w:b/>
              </w:rPr>
            </w:pPr>
            <w:r w:rsidRPr="00113898">
              <w:rPr>
                <w:rFonts w:ascii="Times New Roman" w:hAnsi="Times New Roman" w:cs="Times New Roman"/>
                <w:b/>
              </w:rPr>
              <w:t>Change</w:t>
            </w:r>
          </w:p>
        </w:tc>
      </w:tr>
      <w:tr w:rsidR="003E79B4" w:rsidRPr="00113898" w14:paraId="59E0F06B" w14:textId="77777777" w:rsidTr="004A054C">
        <w:trPr>
          <w:trHeight w:val="324"/>
        </w:trPr>
        <w:tc>
          <w:tcPr>
            <w:tcW w:w="681" w:type="dxa"/>
            <w:tcBorders>
              <w:top w:val="single" w:sz="4" w:space="0" w:color="auto"/>
            </w:tcBorders>
          </w:tcPr>
          <w:p w14:paraId="6D47BFB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1998</w:t>
            </w:r>
          </w:p>
        </w:tc>
        <w:tc>
          <w:tcPr>
            <w:tcW w:w="681" w:type="dxa"/>
            <w:tcBorders>
              <w:top w:val="single" w:sz="4" w:space="0" w:color="auto"/>
            </w:tcBorders>
          </w:tcPr>
          <w:p w14:paraId="7492085F"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L100</w:t>
            </w:r>
          </w:p>
        </w:tc>
        <w:tc>
          <w:tcPr>
            <w:tcW w:w="7285" w:type="dxa"/>
            <w:tcBorders>
              <w:top w:val="single" w:sz="4" w:space="0" w:color="auto"/>
            </w:tcBorders>
          </w:tcPr>
          <w:p w14:paraId="2158165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Blood alcohol level reduced from 0.8 to 0.5.</w:t>
            </w:r>
          </w:p>
        </w:tc>
        <w:tc>
          <w:tcPr>
            <w:tcW w:w="992" w:type="dxa"/>
            <w:tcBorders>
              <w:top w:val="single" w:sz="4" w:space="0" w:color="auto"/>
            </w:tcBorders>
          </w:tcPr>
          <w:p w14:paraId="4B5D6B0F"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23559835" w14:textId="77777777" w:rsidTr="004A054C">
        <w:trPr>
          <w:trHeight w:val="345"/>
        </w:trPr>
        <w:tc>
          <w:tcPr>
            <w:tcW w:w="681" w:type="dxa"/>
          </w:tcPr>
          <w:p w14:paraId="25742E2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1998</w:t>
            </w:r>
          </w:p>
        </w:tc>
        <w:tc>
          <w:tcPr>
            <w:tcW w:w="681" w:type="dxa"/>
          </w:tcPr>
          <w:p w14:paraId="751AB27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L17</w:t>
            </w:r>
          </w:p>
        </w:tc>
        <w:tc>
          <w:tcPr>
            <w:tcW w:w="7285" w:type="dxa"/>
          </w:tcPr>
          <w:p w14:paraId="1C3CFFC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Minimum age of 15 to buy alcohol in shops and groceries</w:t>
            </w:r>
          </w:p>
        </w:tc>
        <w:tc>
          <w:tcPr>
            <w:tcW w:w="992" w:type="dxa"/>
          </w:tcPr>
          <w:p w14:paraId="6B2C7371"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0BCE4C70" w14:textId="77777777" w:rsidTr="004A054C">
        <w:trPr>
          <w:trHeight w:val="461"/>
        </w:trPr>
        <w:tc>
          <w:tcPr>
            <w:tcW w:w="681" w:type="dxa"/>
          </w:tcPr>
          <w:p w14:paraId="25BD014C"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2000</w:t>
            </w:r>
          </w:p>
        </w:tc>
        <w:tc>
          <w:tcPr>
            <w:tcW w:w="681" w:type="dxa"/>
          </w:tcPr>
          <w:p w14:paraId="5EE7847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L21</w:t>
            </w:r>
          </w:p>
        </w:tc>
        <w:tc>
          <w:tcPr>
            <w:tcW w:w="7285" w:type="dxa"/>
          </w:tcPr>
          <w:p w14:paraId="72D2C557"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Alcohol sale from shops and groceries allowed on Sundays before 20 PM</w:t>
            </w:r>
          </w:p>
        </w:tc>
        <w:tc>
          <w:tcPr>
            <w:tcW w:w="992" w:type="dxa"/>
          </w:tcPr>
          <w:p w14:paraId="1AE98635"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44ABEBFC" w14:textId="77777777" w:rsidTr="004A054C">
        <w:trPr>
          <w:trHeight w:val="345"/>
        </w:trPr>
        <w:tc>
          <w:tcPr>
            <w:tcW w:w="681" w:type="dxa"/>
          </w:tcPr>
          <w:p w14:paraId="04572C79"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2002</w:t>
            </w:r>
          </w:p>
        </w:tc>
        <w:tc>
          <w:tcPr>
            <w:tcW w:w="681" w:type="dxa"/>
          </w:tcPr>
          <w:p w14:paraId="1F51D1E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L79</w:t>
            </w:r>
          </w:p>
        </w:tc>
        <w:tc>
          <w:tcPr>
            <w:tcW w:w="7285" w:type="dxa"/>
          </w:tcPr>
          <w:p w14:paraId="20EDA039"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VAT on alcohol reduced from 275DKK/liter to 150DKK/liter</w:t>
            </w:r>
          </w:p>
        </w:tc>
        <w:tc>
          <w:tcPr>
            <w:tcW w:w="992" w:type="dxa"/>
          </w:tcPr>
          <w:p w14:paraId="57286B5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w:t>
            </w:r>
          </w:p>
        </w:tc>
      </w:tr>
      <w:tr w:rsidR="003E79B4" w:rsidRPr="00113898" w14:paraId="7BF98604" w14:textId="77777777" w:rsidTr="004A054C">
        <w:trPr>
          <w:trHeight w:val="670"/>
        </w:trPr>
        <w:tc>
          <w:tcPr>
            <w:tcW w:w="681" w:type="dxa"/>
          </w:tcPr>
          <w:p w14:paraId="1288FF89"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2002</w:t>
            </w:r>
          </w:p>
        </w:tc>
        <w:tc>
          <w:tcPr>
            <w:tcW w:w="681" w:type="dxa"/>
          </w:tcPr>
          <w:p w14:paraId="2CBFEE35"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L17</w:t>
            </w:r>
          </w:p>
        </w:tc>
        <w:tc>
          <w:tcPr>
            <w:tcW w:w="7285" w:type="dxa"/>
          </w:tcPr>
          <w:p w14:paraId="5A222D0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The legal opportunities for the police to withdraw a liquor license to a bar are increased.</w:t>
            </w:r>
          </w:p>
        </w:tc>
        <w:tc>
          <w:tcPr>
            <w:tcW w:w="992" w:type="dxa"/>
          </w:tcPr>
          <w:p w14:paraId="6C25AA0C" w14:textId="77777777" w:rsidR="003E79B4" w:rsidRPr="00113898" w:rsidRDefault="003E79B4" w:rsidP="004A054C">
            <w:pPr>
              <w:rPr>
                <w:rFonts w:ascii="Times New Roman" w:hAnsi="Times New Roman" w:cs="Times New Roman"/>
              </w:rPr>
            </w:pPr>
          </w:p>
        </w:tc>
      </w:tr>
      <w:tr w:rsidR="003E79B4" w:rsidRPr="00113898" w14:paraId="2A5A0CA2" w14:textId="77777777" w:rsidTr="004A054C">
        <w:trPr>
          <w:trHeight w:val="324"/>
        </w:trPr>
        <w:tc>
          <w:tcPr>
            <w:tcW w:w="681" w:type="dxa"/>
          </w:tcPr>
          <w:p w14:paraId="2E974AC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2003</w:t>
            </w:r>
          </w:p>
        </w:tc>
        <w:tc>
          <w:tcPr>
            <w:tcW w:w="681" w:type="dxa"/>
          </w:tcPr>
          <w:p w14:paraId="7D1D845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L86</w:t>
            </w:r>
          </w:p>
        </w:tc>
        <w:tc>
          <w:tcPr>
            <w:tcW w:w="7285" w:type="dxa"/>
          </w:tcPr>
          <w:p w14:paraId="706B170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VAT on packaging of beer and soda reduced by 80 percent.</w:t>
            </w:r>
          </w:p>
        </w:tc>
        <w:tc>
          <w:tcPr>
            <w:tcW w:w="992" w:type="dxa"/>
          </w:tcPr>
          <w:p w14:paraId="5760744A"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w:t>
            </w:r>
          </w:p>
        </w:tc>
      </w:tr>
      <w:tr w:rsidR="003E79B4" w:rsidRPr="00113898" w14:paraId="3D92C661" w14:textId="77777777" w:rsidTr="004A054C">
        <w:trPr>
          <w:trHeight w:val="690"/>
        </w:trPr>
        <w:tc>
          <w:tcPr>
            <w:tcW w:w="681" w:type="dxa"/>
          </w:tcPr>
          <w:p w14:paraId="5BA35CD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2004</w:t>
            </w:r>
          </w:p>
        </w:tc>
        <w:tc>
          <w:tcPr>
            <w:tcW w:w="681" w:type="dxa"/>
          </w:tcPr>
          <w:p w14:paraId="252DBAF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L95</w:t>
            </w:r>
          </w:p>
        </w:tc>
        <w:tc>
          <w:tcPr>
            <w:tcW w:w="7285" w:type="dxa"/>
          </w:tcPr>
          <w:p w14:paraId="6669555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Minimum age increased to 16 to buy alcohol in shops and groceries. Owners are punished with a penalty for violations.</w:t>
            </w:r>
          </w:p>
        </w:tc>
        <w:tc>
          <w:tcPr>
            <w:tcW w:w="992" w:type="dxa"/>
          </w:tcPr>
          <w:p w14:paraId="71FACCE1"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4DB467A9" w14:textId="77777777" w:rsidTr="004A054C">
        <w:trPr>
          <w:trHeight w:val="670"/>
        </w:trPr>
        <w:tc>
          <w:tcPr>
            <w:tcW w:w="681" w:type="dxa"/>
          </w:tcPr>
          <w:p w14:paraId="42D14DC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2004</w:t>
            </w:r>
          </w:p>
        </w:tc>
        <w:tc>
          <w:tcPr>
            <w:tcW w:w="681" w:type="dxa"/>
          </w:tcPr>
          <w:p w14:paraId="72A1C3A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L163</w:t>
            </w:r>
          </w:p>
        </w:tc>
        <w:tc>
          <w:tcPr>
            <w:tcW w:w="7285" w:type="dxa"/>
          </w:tcPr>
          <w:p w14:paraId="42DAC66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Restrictions in the access to use bars for private functions. If the host is under 18 years old, alcohol sale is prohibited.</w:t>
            </w:r>
          </w:p>
        </w:tc>
        <w:tc>
          <w:tcPr>
            <w:tcW w:w="992" w:type="dxa"/>
          </w:tcPr>
          <w:p w14:paraId="5DF9A82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26A066AE" w14:textId="77777777" w:rsidTr="004A054C">
        <w:trPr>
          <w:trHeight w:val="481"/>
        </w:trPr>
        <w:tc>
          <w:tcPr>
            <w:tcW w:w="681" w:type="dxa"/>
          </w:tcPr>
          <w:p w14:paraId="1CF99E8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2004</w:t>
            </w:r>
          </w:p>
        </w:tc>
        <w:tc>
          <w:tcPr>
            <w:tcW w:w="681" w:type="dxa"/>
          </w:tcPr>
          <w:p w14:paraId="2F437C9B"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L125</w:t>
            </w:r>
          </w:p>
        </w:tc>
        <w:tc>
          <w:tcPr>
            <w:tcW w:w="7285" w:type="dxa"/>
          </w:tcPr>
          <w:p w14:paraId="4B101ECC"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 xml:space="preserve">Increase on VAT on alcohol soft drinks and decrease on VAT on beer and wine. </w:t>
            </w:r>
          </w:p>
        </w:tc>
        <w:tc>
          <w:tcPr>
            <w:tcW w:w="992" w:type="dxa"/>
          </w:tcPr>
          <w:p w14:paraId="447A65C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L/R</w:t>
            </w:r>
          </w:p>
        </w:tc>
      </w:tr>
      <w:tr w:rsidR="003E79B4" w:rsidRPr="00113898" w14:paraId="4C5ACBCC" w14:textId="77777777" w:rsidTr="004A054C">
        <w:trPr>
          <w:trHeight w:val="1213"/>
        </w:trPr>
        <w:tc>
          <w:tcPr>
            <w:tcW w:w="681" w:type="dxa"/>
          </w:tcPr>
          <w:p w14:paraId="728FE8B1"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2005</w:t>
            </w:r>
          </w:p>
        </w:tc>
        <w:tc>
          <w:tcPr>
            <w:tcW w:w="681" w:type="dxa"/>
          </w:tcPr>
          <w:p w14:paraId="15DEB315"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L7</w:t>
            </w:r>
          </w:p>
        </w:tc>
        <w:tc>
          <w:tcPr>
            <w:tcW w:w="7285" w:type="dxa"/>
          </w:tcPr>
          <w:p w14:paraId="1B88EBF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Punishment for drink-driving increased: Maximum penalty increased to 1 year and 6 months. A fine of the monthly salary multiplied by the blood alcohol level is introduced for first time drink-driving. An unconditional confiscation of the vehicle is introduced for repeated drink-driving.</w:t>
            </w:r>
          </w:p>
        </w:tc>
        <w:tc>
          <w:tcPr>
            <w:tcW w:w="992" w:type="dxa"/>
          </w:tcPr>
          <w:p w14:paraId="6ED0690B"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142075D8" w14:textId="77777777" w:rsidTr="004A054C">
        <w:trPr>
          <w:trHeight w:val="670"/>
        </w:trPr>
        <w:tc>
          <w:tcPr>
            <w:tcW w:w="681" w:type="dxa"/>
          </w:tcPr>
          <w:p w14:paraId="5249343D"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2005</w:t>
            </w:r>
          </w:p>
        </w:tc>
        <w:tc>
          <w:tcPr>
            <w:tcW w:w="681" w:type="dxa"/>
          </w:tcPr>
          <w:p w14:paraId="5D65EDE9"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L161</w:t>
            </w:r>
          </w:p>
        </w:tc>
        <w:tc>
          <w:tcPr>
            <w:tcW w:w="7285" w:type="dxa"/>
          </w:tcPr>
          <w:p w14:paraId="2A64F71C"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The penalty for inadvertent manslaughter or damage to a person is increased if the crime is committed in relation to drink-driving.</w:t>
            </w:r>
          </w:p>
        </w:tc>
        <w:tc>
          <w:tcPr>
            <w:tcW w:w="992" w:type="dxa"/>
          </w:tcPr>
          <w:p w14:paraId="7E68C37C"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5C2177A6" w14:textId="77777777" w:rsidTr="004A054C">
        <w:trPr>
          <w:trHeight w:val="670"/>
        </w:trPr>
        <w:tc>
          <w:tcPr>
            <w:tcW w:w="681" w:type="dxa"/>
          </w:tcPr>
          <w:p w14:paraId="3C55947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2005</w:t>
            </w:r>
          </w:p>
        </w:tc>
        <w:tc>
          <w:tcPr>
            <w:tcW w:w="681" w:type="dxa"/>
          </w:tcPr>
          <w:p w14:paraId="3A2C9D0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L158</w:t>
            </w:r>
          </w:p>
        </w:tc>
        <w:tc>
          <w:tcPr>
            <w:tcW w:w="7285" w:type="dxa"/>
          </w:tcPr>
          <w:p w14:paraId="5C8FDCB2"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Limits on the hours of alcohol sale from shops and groceries are removed.</w:t>
            </w:r>
          </w:p>
        </w:tc>
        <w:tc>
          <w:tcPr>
            <w:tcW w:w="992" w:type="dxa"/>
          </w:tcPr>
          <w:p w14:paraId="16126E6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w:t>
            </w:r>
          </w:p>
        </w:tc>
      </w:tr>
      <w:tr w:rsidR="003E79B4" w:rsidRPr="00113898" w14:paraId="2838BE5A" w14:textId="77777777" w:rsidTr="004A054C">
        <w:trPr>
          <w:trHeight w:val="345"/>
        </w:trPr>
        <w:tc>
          <w:tcPr>
            <w:tcW w:w="681" w:type="dxa"/>
          </w:tcPr>
          <w:p w14:paraId="0AF7F12D"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2007</w:t>
            </w:r>
          </w:p>
        </w:tc>
        <w:tc>
          <w:tcPr>
            <w:tcW w:w="681" w:type="dxa"/>
          </w:tcPr>
          <w:p w14:paraId="64EC04F7"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L180</w:t>
            </w:r>
          </w:p>
        </w:tc>
        <w:tc>
          <w:tcPr>
            <w:tcW w:w="7285" w:type="dxa"/>
          </w:tcPr>
          <w:p w14:paraId="4D876BB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Exhalation tests are introduced as evidence in cases of drink-driving.</w:t>
            </w:r>
          </w:p>
        </w:tc>
        <w:tc>
          <w:tcPr>
            <w:tcW w:w="992" w:type="dxa"/>
          </w:tcPr>
          <w:p w14:paraId="5F3C529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7794AA8B" w14:textId="77777777" w:rsidTr="004A054C">
        <w:trPr>
          <w:trHeight w:val="670"/>
        </w:trPr>
        <w:tc>
          <w:tcPr>
            <w:tcW w:w="681" w:type="dxa"/>
          </w:tcPr>
          <w:p w14:paraId="23EB3A3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2010</w:t>
            </w:r>
          </w:p>
        </w:tc>
        <w:tc>
          <w:tcPr>
            <w:tcW w:w="681" w:type="dxa"/>
          </w:tcPr>
          <w:p w14:paraId="122540AD"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L197</w:t>
            </w:r>
          </w:p>
        </w:tc>
        <w:tc>
          <w:tcPr>
            <w:tcW w:w="7285" w:type="dxa"/>
          </w:tcPr>
          <w:p w14:paraId="3A2EE78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 xml:space="preserve">Prohibition of alcohol sale with a content of 18.5pct or more in bars and shops to people under 18 years. </w:t>
            </w:r>
          </w:p>
        </w:tc>
        <w:tc>
          <w:tcPr>
            <w:tcW w:w="992" w:type="dxa"/>
          </w:tcPr>
          <w:p w14:paraId="34749569"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3168C993" w14:textId="77777777" w:rsidTr="004A054C">
        <w:trPr>
          <w:trHeight w:val="1035"/>
        </w:trPr>
        <w:tc>
          <w:tcPr>
            <w:tcW w:w="681" w:type="dxa"/>
          </w:tcPr>
          <w:p w14:paraId="1D5F88B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2010</w:t>
            </w:r>
          </w:p>
        </w:tc>
        <w:tc>
          <w:tcPr>
            <w:tcW w:w="681" w:type="dxa"/>
          </w:tcPr>
          <w:p w14:paraId="750B9AE1"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L179</w:t>
            </w:r>
          </w:p>
        </w:tc>
        <w:tc>
          <w:tcPr>
            <w:tcW w:w="7285" w:type="dxa"/>
          </w:tcPr>
          <w:p w14:paraId="5941ACDD"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The penalty for inadvertent manslaughter or damage to a person is increased from 10-12 months in prison to 16-18 months if the crime is committed in relation to drink-driving.</w:t>
            </w:r>
          </w:p>
        </w:tc>
        <w:tc>
          <w:tcPr>
            <w:tcW w:w="992" w:type="dxa"/>
          </w:tcPr>
          <w:p w14:paraId="47916F5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66D155A2" w14:textId="77777777" w:rsidTr="004A054C">
        <w:trPr>
          <w:trHeight w:val="324"/>
        </w:trPr>
        <w:tc>
          <w:tcPr>
            <w:tcW w:w="681" w:type="dxa"/>
          </w:tcPr>
          <w:p w14:paraId="1C09E10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2010</w:t>
            </w:r>
          </w:p>
        </w:tc>
        <w:tc>
          <w:tcPr>
            <w:tcW w:w="681" w:type="dxa"/>
          </w:tcPr>
          <w:p w14:paraId="42097340"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L216</w:t>
            </w:r>
          </w:p>
        </w:tc>
        <w:tc>
          <w:tcPr>
            <w:tcW w:w="7285" w:type="dxa"/>
          </w:tcPr>
          <w:p w14:paraId="7F972534"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The VAT on alcohol soft drinks is increased.</w:t>
            </w:r>
          </w:p>
        </w:tc>
        <w:tc>
          <w:tcPr>
            <w:tcW w:w="992" w:type="dxa"/>
          </w:tcPr>
          <w:p w14:paraId="647B3C9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r w:rsidR="003E79B4" w:rsidRPr="00113898" w14:paraId="63852D7B" w14:textId="77777777" w:rsidTr="004A054C">
        <w:trPr>
          <w:trHeight w:val="324"/>
        </w:trPr>
        <w:tc>
          <w:tcPr>
            <w:tcW w:w="681" w:type="dxa"/>
          </w:tcPr>
          <w:p w14:paraId="07CF18B3"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2011</w:t>
            </w:r>
          </w:p>
        </w:tc>
        <w:tc>
          <w:tcPr>
            <w:tcW w:w="681" w:type="dxa"/>
          </w:tcPr>
          <w:p w14:paraId="2EF32D45"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L33</w:t>
            </w:r>
          </w:p>
        </w:tc>
        <w:tc>
          <w:tcPr>
            <w:tcW w:w="7285" w:type="dxa"/>
          </w:tcPr>
          <w:p w14:paraId="421C8A48"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 xml:space="preserve">The VAT on beer and wine is increased. </w:t>
            </w:r>
          </w:p>
        </w:tc>
        <w:tc>
          <w:tcPr>
            <w:tcW w:w="992" w:type="dxa"/>
          </w:tcPr>
          <w:p w14:paraId="5BF1BA4E" w14:textId="77777777" w:rsidR="003E79B4" w:rsidRPr="00113898" w:rsidRDefault="003E79B4" w:rsidP="004A054C">
            <w:pPr>
              <w:rPr>
                <w:rFonts w:ascii="Times New Roman" w:hAnsi="Times New Roman" w:cs="Times New Roman"/>
              </w:rPr>
            </w:pPr>
            <w:r w:rsidRPr="00113898">
              <w:rPr>
                <w:rFonts w:ascii="Times New Roman" w:hAnsi="Times New Roman" w:cs="Times New Roman"/>
              </w:rPr>
              <w:t>R</w:t>
            </w:r>
          </w:p>
        </w:tc>
      </w:tr>
    </w:tbl>
    <w:p w14:paraId="072EBE26" w14:textId="77777777" w:rsidR="003E79B4" w:rsidRDefault="003E79B4" w:rsidP="003E79B4">
      <w:pPr>
        <w:rPr>
          <w:rFonts w:ascii="Times New Roman" w:hAnsi="Times New Roman" w:cs="Times New Roman"/>
        </w:rPr>
      </w:pPr>
      <w:r w:rsidRPr="00113898">
        <w:rPr>
          <w:rFonts w:ascii="Times New Roman" w:hAnsi="Times New Roman" w:cs="Times New Roman"/>
        </w:rPr>
        <w:t>Note: “R” is restrictions, “L” is liberalization.</w:t>
      </w:r>
    </w:p>
    <w:p w14:paraId="274171F3" w14:textId="77777777" w:rsidR="003E79B4" w:rsidRDefault="003E79B4" w:rsidP="003E79B4">
      <w:pPr>
        <w:rPr>
          <w:rFonts w:ascii="Times New Roman" w:hAnsi="Times New Roman" w:cs="Times New Roman"/>
        </w:rPr>
      </w:pPr>
      <w:r>
        <w:rPr>
          <w:rFonts w:ascii="Times New Roman" w:hAnsi="Times New Roman" w:cs="Times New Roman"/>
        </w:rPr>
        <w:br w:type="page"/>
      </w:r>
    </w:p>
    <w:p w14:paraId="14BD4F52" w14:textId="77777777" w:rsidR="003E79B4" w:rsidRPr="00113898" w:rsidRDefault="003E79B4" w:rsidP="003E79B4">
      <w:pPr>
        <w:spacing w:after="0"/>
        <w:rPr>
          <w:rFonts w:ascii="Times New Roman" w:hAnsi="Times New Roman" w:cs="Times New Roman"/>
        </w:rPr>
      </w:pPr>
      <w:r w:rsidRPr="00113898">
        <w:rPr>
          <w:rFonts w:ascii="Times New Roman" w:hAnsi="Times New Roman" w:cs="Times New Roman"/>
        </w:rPr>
        <w:lastRenderedPageBreak/>
        <w:t xml:space="preserve">Figure </w:t>
      </w:r>
      <w:r>
        <w:rPr>
          <w:rFonts w:ascii="Times New Roman" w:hAnsi="Times New Roman" w:cs="Times New Roman"/>
        </w:rPr>
        <w:t>A2</w:t>
      </w:r>
      <w:r w:rsidRPr="00113898">
        <w:rPr>
          <w:rFonts w:ascii="Times New Roman" w:hAnsi="Times New Roman" w:cs="Times New Roman"/>
        </w:rPr>
        <w:t>. Policy changes</w:t>
      </w:r>
    </w:p>
    <w:p w14:paraId="3D98C0AD" w14:textId="77777777" w:rsidR="003E79B4" w:rsidRPr="00113898" w:rsidRDefault="003E79B4" w:rsidP="003E79B4">
      <w:pPr>
        <w:spacing w:after="0"/>
        <w:rPr>
          <w:rFonts w:ascii="Times New Roman" w:hAnsi="Times New Roman" w:cs="Times New Roman"/>
        </w:rPr>
      </w:pPr>
      <w:r w:rsidRPr="008C33BB">
        <w:rPr>
          <w:rFonts w:ascii="Times New Roman" w:hAnsi="Times New Roman" w:cs="Times New Roman"/>
          <w:noProof/>
          <w:sz w:val="24"/>
          <w:szCs w:val="24"/>
          <w:lang w:val="da-DK" w:eastAsia="da-DK"/>
        </w:rPr>
        <mc:AlternateContent>
          <mc:Choice Requires="wps">
            <w:drawing>
              <wp:anchor distT="45720" distB="45720" distL="114300" distR="114300" simplePos="0" relativeHeight="251661312" behindDoc="0" locked="0" layoutInCell="1" allowOverlap="1" wp14:anchorId="5AE794EA" wp14:editId="0148B1FF">
                <wp:simplePos x="0" y="0"/>
                <wp:positionH relativeFrom="margin">
                  <wp:posOffset>80645</wp:posOffset>
                </wp:positionH>
                <wp:positionV relativeFrom="paragraph">
                  <wp:posOffset>154940</wp:posOffset>
                </wp:positionV>
                <wp:extent cx="730568" cy="140462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0568" cy="1404620"/>
                        </a:xfrm>
                        <a:prstGeom prst="rect">
                          <a:avLst/>
                        </a:prstGeom>
                        <a:noFill/>
                        <a:ln w="9525">
                          <a:noFill/>
                          <a:miter lim="800000"/>
                          <a:headEnd/>
                          <a:tailEnd/>
                        </a:ln>
                      </wps:spPr>
                      <wps:txbx>
                        <w:txbxContent>
                          <w:p w14:paraId="3B318388" w14:textId="77777777" w:rsidR="003E79B4" w:rsidRPr="00EA74F3" w:rsidRDefault="003E79B4" w:rsidP="003E79B4">
                            <w:pPr>
                              <w:rPr>
                                <w:rFonts w:ascii="Times New Roman" w:hAnsi="Times New Roman" w:cs="Times New Roman"/>
                                <w:lang w:val="da-DK"/>
                              </w:rPr>
                            </w:pPr>
                            <w:r>
                              <w:rPr>
                                <w:rFonts w:ascii="Times New Roman" w:hAnsi="Times New Roman" w:cs="Times New Roman"/>
                                <w:lang w:val="da-DK"/>
                              </w:rPr>
                              <w:t>counts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E794EA" id="_x0000_s1028" type="#_x0000_t202" style="position:absolute;margin-left:6.35pt;margin-top:12.2pt;width:57.55pt;height:110.6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" filled="f" stroked="f">
                <v:textbox style="mso-fit-shape-to-text:t">
                  <w:txbxContent>
                    <w:p w14:paraId="3B318388" w14:textId="77777777" w:rsidR="003E79B4" w:rsidRPr="00EA74F3" w:rsidRDefault="003E79B4" w:rsidP="003E79B4">
                      <w:pPr>
                        <w:rPr>
                          <w:rFonts w:ascii="Times New Roman" w:hAnsi="Times New Roman" w:cs="Times New Roman"/>
                          <w:lang w:val="da-DK"/>
                        </w:rPr>
                      </w:pPr>
                      <w:r>
                        <w:rPr>
                          <w:rFonts w:ascii="Times New Roman" w:hAnsi="Times New Roman" w:cs="Times New Roman"/>
                          <w:lang w:val="da-DK"/>
                        </w:rPr>
                        <w:t>counts</w:t>
                      </w:r>
                    </w:p>
                  </w:txbxContent>
                </v:textbox>
                <w10:wrap anchorx="margin"/>
              </v:shape>
            </w:pict>
          </mc:Fallback>
        </mc:AlternateContent>
      </w:r>
      <w:r w:rsidRPr="00113898">
        <w:rPr>
          <w:rFonts w:ascii="Times New Roman" w:hAnsi="Times New Roman" w:cs="Times New Roman"/>
          <w:noProof/>
          <w:lang w:val="da-DK" w:eastAsia="da-DK"/>
        </w:rPr>
        <w:drawing>
          <wp:inline distT="0" distB="0" distL="0" distR="0" wp14:anchorId="5CE14712" wp14:editId="497069A9">
            <wp:extent cx="2746864" cy="24003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24760E" w14:textId="77777777" w:rsidR="003E79B4" w:rsidRPr="00113898" w:rsidRDefault="003E79B4" w:rsidP="003E79B4">
      <w:pPr>
        <w:spacing w:after="0"/>
        <w:rPr>
          <w:rFonts w:ascii="Times New Roman" w:hAnsi="Times New Roman" w:cs="Times New Roman"/>
        </w:rPr>
      </w:pPr>
    </w:p>
    <w:p w14:paraId="19D1BC53" w14:textId="77777777" w:rsidR="003E79B4" w:rsidRDefault="003E79B4" w:rsidP="003E79B4"/>
    <w:p w14:paraId="1E326956" w14:textId="77777777" w:rsidR="003E79B4" w:rsidRDefault="003E79B4" w:rsidP="003E79B4"/>
    <w:p w14:paraId="28970167" w14:textId="3078F90B" w:rsidR="00E730B7" w:rsidRPr="00026491" w:rsidRDefault="00E730B7" w:rsidP="00026491">
      <w:pPr>
        <w:rPr>
          <w:lang w:val="en-GB"/>
        </w:rPr>
      </w:pPr>
    </w:p>
    <w:sectPr w:rsidR="00E730B7" w:rsidRPr="0002649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FDD3" w14:textId="77777777" w:rsidR="00FB469C" w:rsidRDefault="00FB469C" w:rsidP="004A1E04">
      <w:pPr>
        <w:spacing w:after="0" w:line="240" w:lineRule="auto"/>
      </w:pPr>
      <w:r>
        <w:separator/>
      </w:r>
    </w:p>
  </w:endnote>
  <w:endnote w:type="continuationSeparator" w:id="0">
    <w:p w14:paraId="45ABEB1A" w14:textId="77777777" w:rsidR="00FB469C" w:rsidRDefault="00FB469C" w:rsidP="004A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47402245"/>
      <w:docPartObj>
        <w:docPartGallery w:val="Page Numbers (Bottom of Page)"/>
        <w:docPartUnique/>
      </w:docPartObj>
    </w:sdtPr>
    <w:sdtEndPr/>
    <w:sdtContent>
      <w:p w14:paraId="0343E11E" w14:textId="6EE45A73" w:rsidR="00E924E9" w:rsidRPr="004A1E04" w:rsidRDefault="00E924E9">
        <w:pPr>
          <w:pStyle w:val="Sidefod"/>
          <w:jc w:val="center"/>
          <w:rPr>
            <w:rFonts w:ascii="Times New Roman" w:hAnsi="Times New Roman" w:cs="Times New Roman"/>
            <w:sz w:val="24"/>
            <w:szCs w:val="24"/>
          </w:rPr>
        </w:pPr>
        <w:r w:rsidRPr="004A1E04">
          <w:rPr>
            <w:rFonts w:ascii="Times New Roman" w:hAnsi="Times New Roman" w:cs="Times New Roman"/>
            <w:sz w:val="24"/>
            <w:szCs w:val="24"/>
          </w:rPr>
          <w:fldChar w:fldCharType="begin"/>
        </w:r>
        <w:r w:rsidRPr="004A1E04">
          <w:rPr>
            <w:rFonts w:ascii="Times New Roman" w:hAnsi="Times New Roman" w:cs="Times New Roman"/>
            <w:sz w:val="24"/>
            <w:szCs w:val="24"/>
          </w:rPr>
          <w:instrText>PAGE   \* MERGEFORMAT</w:instrText>
        </w:r>
        <w:r w:rsidRPr="004A1E04">
          <w:rPr>
            <w:rFonts w:ascii="Times New Roman" w:hAnsi="Times New Roman" w:cs="Times New Roman"/>
            <w:sz w:val="24"/>
            <w:szCs w:val="24"/>
          </w:rPr>
          <w:fldChar w:fldCharType="separate"/>
        </w:r>
        <w:r w:rsidR="003E79B4" w:rsidRPr="003E79B4">
          <w:rPr>
            <w:rFonts w:ascii="Times New Roman" w:hAnsi="Times New Roman" w:cs="Times New Roman"/>
            <w:noProof/>
            <w:sz w:val="24"/>
            <w:szCs w:val="24"/>
            <w:lang w:val="da-DK"/>
          </w:rPr>
          <w:t>10</w:t>
        </w:r>
        <w:r w:rsidRPr="004A1E04">
          <w:rPr>
            <w:rFonts w:ascii="Times New Roman" w:hAnsi="Times New Roman" w:cs="Times New Roman"/>
            <w:sz w:val="24"/>
            <w:szCs w:val="24"/>
          </w:rPr>
          <w:fldChar w:fldCharType="end"/>
        </w:r>
      </w:p>
    </w:sdtContent>
  </w:sdt>
  <w:p w14:paraId="5E1FE302" w14:textId="77777777" w:rsidR="00E924E9" w:rsidRDefault="00E924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4D4D" w14:textId="77777777" w:rsidR="00FB469C" w:rsidRDefault="00FB469C" w:rsidP="004A1E04">
      <w:pPr>
        <w:spacing w:after="0" w:line="240" w:lineRule="auto"/>
      </w:pPr>
      <w:r>
        <w:separator/>
      </w:r>
    </w:p>
  </w:footnote>
  <w:footnote w:type="continuationSeparator" w:id="0">
    <w:p w14:paraId="2A1FB0AE" w14:textId="77777777" w:rsidR="00FB469C" w:rsidRDefault="00FB469C" w:rsidP="004A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1460"/>
    <w:multiLevelType w:val="multilevel"/>
    <w:tmpl w:val="B38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66AE4"/>
    <w:multiLevelType w:val="hybridMultilevel"/>
    <w:tmpl w:val="D654E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32"/>
    <w:rsid w:val="00013408"/>
    <w:rsid w:val="00016F69"/>
    <w:rsid w:val="00017AB1"/>
    <w:rsid w:val="000224BB"/>
    <w:rsid w:val="000243FD"/>
    <w:rsid w:val="00024A32"/>
    <w:rsid w:val="0002552B"/>
    <w:rsid w:val="00026491"/>
    <w:rsid w:val="00030A76"/>
    <w:rsid w:val="000321B1"/>
    <w:rsid w:val="00032341"/>
    <w:rsid w:val="000419E8"/>
    <w:rsid w:val="00047FC7"/>
    <w:rsid w:val="00050DEF"/>
    <w:rsid w:val="000510FD"/>
    <w:rsid w:val="000511C6"/>
    <w:rsid w:val="00055636"/>
    <w:rsid w:val="000575D5"/>
    <w:rsid w:val="000606F3"/>
    <w:rsid w:val="00061F76"/>
    <w:rsid w:val="00074C43"/>
    <w:rsid w:val="00077F50"/>
    <w:rsid w:val="0009476A"/>
    <w:rsid w:val="000A10AB"/>
    <w:rsid w:val="000A14C0"/>
    <w:rsid w:val="000A6228"/>
    <w:rsid w:val="000A76BA"/>
    <w:rsid w:val="000B1E63"/>
    <w:rsid w:val="000B60B9"/>
    <w:rsid w:val="000B72EF"/>
    <w:rsid w:val="000C0D05"/>
    <w:rsid w:val="000C4535"/>
    <w:rsid w:val="000D3708"/>
    <w:rsid w:val="000D57BF"/>
    <w:rsid w:val="000D7CEC"/>
    <w:rsid w:val="000E4610"/>
    <w:rsid w:val="000E7D62"/>
    <w:rsid w:val="000F0859"/>
    <w:rsid w:val="000F3793"/>
    <w:rsid w:val="001031D0"/>
    <w:rsid w:val="00111594"/>
    <w:rsid w:val="0011237C"/>
    <w:rsid w:val="001132EB"/>
    <w:rsid w:val="00113898"/>
    <w:rsid w:val="0011471B"/>
    <w:rsid w:val="001228F1"/>
    <w:rsid w:val="0012782C"/>
    <w:rsid w:val="0013048F"/>
    <w:rsid w:val="00130F56"/>
    <w:rsid w:val="00134B34"/>
    <w:rsid w:val="001374BB"/>
    <w:rsid w:val="00156089"/>
    <w:rsid w:val="00156685"/>
    <w:rsid w:val="00156F50"/>
    <w:rsid w:val="001576BF"/>
    <w:rsid w:val="00157949"/>
    <w:rsid w:val="0016697B"/>
    <w:rsid w:val="00175F76"/>
    <w:rsid w:val="00180110"/>
    <w:rsid w:val="001813F4"/>
    <w:rsid w:val="00193CAF"/>
    <w:rsid w:val="001A77B1"/>
    <w:rsid w:val="001B185D"/>
    <w:rsid w:val="001C0171"/>
    <w:rsid w:val="001C57CA"/>
    <w:rsid w:val="001D0903"/>
    <w:rsid w:val="001E000E"/>
    <w:rsid w:val="001F12F6"/>
    <w:rsid w:val="001F46F9"/>
    <w:rsid w:val="0020000C"/>
    <w:rsid w:val="00204DCE"/>
    <w:rsid w:val="00205901"/>
    <w:rsid w:val="00213810"/>
    <w:rsid w:val="0021469B"/>
    <w:rsid w:val="00214C83"/>
    <w:rsid w:val="002216E9"/>
    <w:rsid w:val="002265A7"/>
    <w:rsid w:val="00240F4D"/>
    <w:rsid w:val="00244221"/>
    <w:rsid w:val="00244FA8"/>
    <w:rsid w:val="002466BD"/>
    <w:rsid w:val="00250DDC"/>
    <w:rsid w:val="00254E6C"/>
    <w:rsid w:val="002605F5"/>
    <w:rsid w:val="00261D66"/>
    <w:rsid w:val="00264CBD"/>
    <w:rsid w:val="00267A79"/>
    <w:rsid w:val="00271098"/>
    <w:rsid w:val="00274AC0"/>
    <w:rsid w:val="00275463"/>
    <w:rsid w:val="0028049A"/>
    <w:rsid w:val="002806AD"/>
    <w:rsid w:val="00286DC9"/>
    <w:rsid w:val="0028736A"/>
    <w:rsid w:val="00297643"/>
    <w:rsid w:val="002B2A8C"/>
    <w:rsid w:val="002B3266"/>
    <w:rsid w:val="002B4203"/>
    <w:rsid w:val="002C0001"/>
    <w:rsid w:val="002C6014"/>
    <w:rsid w:val="002D6578"/>
    <w:rsid w:val="002E1A31"/>
    <w:rsid w:val="002E1A53"/>
    <w:rsid w:val="002E3E78"/>
    <w:rsid w:val="002E4272"/>
    <w:rsid w:val="002E5264"/>
    <w:rsid w:val="002E5572"/>
    <w:rsid w:val="002F1650"/>
    <w:rsid w:val="002F2D0B"/>
    <w:rsid w:val="002F5BD5"/>
    <w:rsid w:val="003262BD"/>
    <w:rsid w:val="00330B1A"/>
    <w:rsid w:val="003316A6"/>
    <w:rsid w:val="0034005D"/>
    <w:rsid w:val="00340786"/>
    <w:rsid w:val="00351C22"/>
    <w:rsid w:val="003531B1"/>
    <w:rsid w:val="00355E64"/>
    <w:rsid w:val="00357C2A"/>
    <w:rsid w:val="00357D32"/>
    <w:rsid w:val="00361FC9"/>
    <w:rsid w:val="00366FB1"/>
    <w:rsid w:val="00370DB7"/>
    <w:rsid w:val="003724DB"/>
    <w:rsid w:val="00374190"/>
    <w:rsid w:val="00375D0B"/>
    <w:rsid w:val="00387005"/>
    <w:rsid w:val="0038749D"/>
    <w:rsid w:val="00394920"/>
    <w:rsid w:val="003A0357"/>
    <w:rsid w:val="003A6158"/>
    <w:rsid w:val="003C0DF0"/>
    <w:rsid w:val="003C61CE"/>
    <w:rsid w:val="003D201C"/>
    <w:rsid w:val="003D5F7A"/>
    <w:rsid w:val="003E4ACD"/>
    <w:rsid w:val="003E5950"/>
    <w:rsid w:val="003E79B4"/>
    <w:rsid w:val="003F3C84"/>
    <w:rsid w:val="003F588C"/>
    <w:rsid w:val="003F6DA0"/>
    <w:rsid w:val="003F6ED3"/>
    <w:rsid w:val="004076E0"/>
    <w:rsid w:val="00410C01"/>
    <w:rsid w:val="00411DAC"/>
    <w:rsid w:val="00413030"/>
    <w:rsid w:val="00414845"/>
    <w:rsid w:val="00420011"/>
    <w:rsid w:val="00425FE4"/>
    <w:rsid w:val="00443E2B"/>
    <w:rsid w:val="00444E4E"/>
    <w:rsid w:val="00446F32"/>
    <w:rsid w:val="00453151"/>
    <w:rsid w:val="0045600B"/>
    <w:rsid w:val="004636DF"/>
    <w:rsid w:val="00467807"/>
    <w:rsid w:val="004714EF"/>
    <w:rsid w:val="00475574"/>
    <w:rsid w:val="00477C5C"/>
    <w:rsid w:val="00480F4B"/>
    <w:rsid w:val="00481D09"/>
    <w:rsid w:val="00483225"/>
    <w:rsid w:val="004844E0"/>
    <w:rsid w:val="0049071D"/>
    <w:rsid w:val="004A14E1"/>
    <w:rsid w:val="004A1E04"/>
    <w:rsid w:val="004B0667"/>
    <w:rsid w:val="004C1F44"/>
    <w:rsid w:val="004C55ED"/>
    <w:rsid w:val="004D2D60"/>
    <w:rsid w:val="004D3866"/>
    <w:rsid w:val="004E0006"/>
    <w:rsid w:val="004F266A"/>
    <w:rsid w:val="004F4535"/>
    <w:rsid w:val="005017EC"/>
    <w:rsid w:val="00513AC4"/>
    <w:rsid w:val="0052426D"/>
    <w:rsid w:val="00532871"/>
    <w:rsid w:val="00534ADB"/>
    <w:rsid w:val="00537979"/>
    <w:rsid w:val="00541813"/>
    <w:rsid w:val="00542695"/>
    <w:rsid w:val="005605EA"/>
    <w:rsid w:val="00565AFF"/>
    <w:rsid w:val="00567A4A"/>
    <w:rsid w:val="00570B76"/>
    <w:rsid w:val="00595B1A"/>
    <w:rsid w:val="00596DEB"/>
    <w:rsid w:val="005A0E40"/>
    <w:rsid w:val="005A6BCD"/>
    <w:rsid w:val="005B0652"/>
    <w:rsid w:val="005B0683"/>
    <w:rsid w:val="005B12F0"/>
    <w:rsid w:val="005C1A71"/>
    <w:rsid w:val="005C428B"/>
    <w:rsid w:val="005E0416"/>
    <w:rsid w:val="005E7D06"/>
    <w:rsid w:val="005E7F4E"/>
    <w:rsid w:val="005F00F0"/>
    <w:rsid w:val="005F16FF"/>
    <w:rsid w:val="00620121"/>
    <w:rsid w:val="00627046"/>
    <w:rsid w:val="006316C2"/>
    <w:rsid w:val="00633FCF"/>
    <w:rsid w:val="00634012"/>
    <w:rsid w:val="00636C9C"/>
    <w:rsid w:val="00643D65"/>
    <w:rsid w:val="00646B82"/>
    <w:rsid w:val="00651DA8"/>
    <w:rsid w:val="006627D0"/>
    <w:rsid w:val="006658EF"/>
    <w:rsid w:val="006664E9"/>
    <w:rsid w:val="00666ABF"/>
    <w:rsid w:val="00670B7C"/>
    <w:rsid w:val="00673862"/>
    <w:rsid w:val="0067686E"/>
    <w:rsid w:val="00680872"/>
    <w:rsid w:val="00692C5B"/>
    <w:rsid w:val="006A0328"/>
    <w:rsid w:val="006A6626"/>
    <w:rsid w:val="006A79CC"/>
    <w:rsid w:val="006B6796"/>
    <w:rsid w:val="006C4579"/>
    <w:rsid w:val="006E6E19"/>
    <w:rsid w:val="006F3512"/>
    <w:rsid w:val="006F6928"/>
    <w:rsid w:val="0070325D"/>
    <w:rsid w:val="00717A57"/>
    <w:rsid w:val="0072003B"/>
    <w:rsid w:val="007225C2"/>
    <w:rsid w:val="007265CB"/>
    <w:rsid w:val="00732A03"/>
    <w:rsid w:val="00734368"/>
    <w:rsid w:val="00734F9C"/>
    <w:rsid w:val="00741B55"/>
    <w:rsid w:val="007430D9"/>
    <w:rsid w:val="00747D97"/>
    <w:rsid w:val="007522E2"/>
    <w:rsid w:val="007612CB"/>
    <w:rsid w:val="00762907"/>
    <w:rsid w:val="00790268"/>
    <w:rsid w:val="007917AE"/>
    <w:rsid w:val="00793D20"/>
    <w:rsid w:val="007946F5"/>
    <w:rsid w:val="007964F1"/>
    <w:rsid w:val="007A28AA"/>
    <w:rsid w:val="007B4B5E"/>
    <w:rsid w:val="007B4BD1"/>
    <w:rsid w:val="007C033F"/>
    <w:rsid w:val="007C270F"/>
    <w:rsid w:val="007D69D7"/>
    <w:rsid w:val="007D6D3A"/>
    <w:rsid w:val="007E4D80"/>
    <w:rsid w:val="007F2FDB"/>
    <w:rsid w:val="007F6603"/>
    <w:rsid w:val="008030C4"/>
    <w:rsid w:val="0080725F"/>
    <w:rsid w:val="00813151"/>
    <w:rsid w:val="00816A35"/>
    <w:rsid w:val="008206A7"/>
    <w:rsid w:val="0082080E"/>
    <w:rsid w:val="008227C3"/>
    <w:rsid w:val="00826A6C"/>
    <w:rsid w:val="00832576"/>
    <w:rsid w:val="0084193E"/>
    <w:rsid w:val="008436CE"/>
    <w:rsid w:val="008454BE"/>
    <w:rsid w:val="0084698B"/>
    <w:rsid w:val="008556AC"/>
    <w:rsid w:val="00856B3E"/>
    <w:rsid w:val="00865D25"/>
    <w:rsid w:val="00875ED1"/>
    <w:rsid w:val="0087661F"/>
    <w:rsid w:val="0087683F"/>
    <w:rsid w:val="00876D5D"/>
    <w:rsid w:val="00881BC0"/>
    <w:rsid w:val="00883AE3"/>
    <w:rsid w:val="00884D3E"/>
    <w:rsid w:val="00887896"/>
    <w:rsid w:val="00891670"/>
    <w:rsid w:val="008920F0"/>
    <w:rsid w:val="00896AEF"/>
    <w:rsid w:val="008A3111"/>
    <w:rsid w:val="008B099A"/>
    <w:rsid w:val="008B23FC"/>
    <w:rsid w:val="008B50B8"/>
    <w:rsid w:val="008B7DE5"/>
    <w:rsid w:val="008C2BC1"/>
    <w:rsid w:val="008C33BB"/>
    <w:rsid w:val="008C5435"/>
    <w:rsid w:val="008D45A8"/>
    <w:rsid w:val="008D52DC"/>
    <w:rsid w:val="008D6E0E"/>
    <w:rsid w:val="008D73D9"/>
    <w:rsid w:val="008E3C21"/>
    <w:rsid w:val="008E5CFE"/>
    <w:rsid w:val="008F1805"/>
    <w:rsid w:val="008F25DB"/>
    <w:rsid w:val="008F2FC2"/>
    <w:rsid w:val="008F4EF0"/>
    <w:rsid w:val="00911849"/>
    <w:rsid w:val="009123F2"/>
    <w:rsid w:val="00915BAB"/>
    <w:rsid w:val="00916AA8"/>
    <w:rsid w:val="00920480"/>
    <w:rsid w:val="00923917"/>
    <w:rsid w:val="009311CF"/>
    <w:rsid w:val="00931B0A"/>
    <w:rsid w:val="00942B26"/>
    <w:rsid w:val="009445A2"/>
    <w:rsid w:val="009473C7"/>
    <w:rsid w:val="009522C8"/>
    <w:rsid w:val="0096039D"/>
    <w:rsid w:val="009640C1"/>
    <w:rsid w:val="009747E9"/>
    <w:rsid w:val="00980943"/>
    <w:rsid w:val="00987F79"/>
    <w:rsid w:val="009A374A"/>
    <w:rsid w:val="009B58F3"/>
    <w:rsid w:val="009C615D"/>
    <w:rsid w:val="009C6224"/>
    <w:rsid w:val="009C7118"/>
    <w:rsid w:val="009D1417"/>
    <w:rsid w:val="009D6F5A"/>
    <w:rsid w:val="009E0B90"/>
    <w:rsid w:val="009E19F7"/>
    <w:rsid w:val="009E5E34"/>
    <w:rsid w:val="009E63AA"/>
    <w:rsid w:val="009E75C5"/>
    <w:rsid w:val="009F5E17"/>
    <w:rsid w:val="009F6488"/>
    <w:rsid w:val="009F7D02"/>
    <w:rsid w:val="00A019AE"/>
    <w:rsid w:val="00A01CB3"/>
    <w:rsid w:val="00A028A5"/>
    <w:rsid w:val="00A028D7"/>
    <w:rsid w:val="00A029C4"/>
    <w:rsid w:val="00A0787F"/>
    <w:rsid w:val="00A10062"/>
    <w:rsid w:val="00A22BBB"/>
    <w:rsid w:val="00A31C0D"/>
    <w:rsid w:val="00A46E9C"/>
    <w:rsid w:val="00A564CC"/>
    <w:rsid w:val="00A5674D"/>
    <w:rsid w:val="00A707C1"/>
    <w:rsid w:val="00A7094E"/>
    <w:rsid w:val="00A77A7B"/>
    <w:rsid w:val="00A81895"/>
    <w:rsid w:val="00A83666"/>
    <w:rsid w:val="00A87121"/>
    <w:rsid w:val="00A906FA"/>
    <w:rsid w:val="00A92CEC"/>
    <w:rsid w:val="00AA5A28"/>
    <w:rsid w:val="00AA60B9"/>
    <w:rsid w:val="00AA79A1"/>
    <w:rsid w:val="00AB3448"/>
    <w:rsid w:val="00AC202B"/>
    <w:rsid w:val="00AD304A"/>
    <w:rsid w:val="00AD605D"/>
    <w:rsid w:val="00AE1A57"/>
    <w:rsid w:val="00AE4C82"/>
    <w:rsid w:val="00AF4ADB"/>
    <w:rsid w:val="00B011CE"/>
    <w:rsid w:val="00B0401C"/>
    <w:rsid w:val="00B16F08"/>
    <w:rsid w:val="00B33E4B"/>
    <w:rsid w:val="00B36469"/>
    <w:rsid w:val="00B368A7"/>
    <w:rsid w:val="00B40AB9"/>
    <w:rsid w:val="00B46559"/>
    <w:rsid w:val="00B52D72"/>
    <w:rsid w:val="00B65E0F"/>
    <w:rsid w:val="00B70E6B"/>
    <w:rsid w:val="00B71EE0"/>
    <w:rsid w:val="00B7544C"/>
    <w:rsid w:val="00B75EE5"/>
    <w:rsid w:val="00B77D36"/>
    <w:rsid w:val="00B80DE7"/>
    <w:rsid w:val="00B820E3"/>
    <w:rsid w:val="00B858E5"/>
    <w:rsid w:val="00B9085E"/>
    <w:rsid w:val="00B9735C"/>
    <w:rsid w:val="00BA16CF"/>
    <w:rsid w:val="00BA27BE"/>
    <w:rsid w:val="00BA3A03"/>
    <w:rsid w:val="00BA49A5"/>
    <w:rsid w:val="00BA70F3"/>
    <w:rsid w:val="00BA7493"/>
    <w:rsid w:val="00BC1FDC"/>
    <w:rsid w:val="00BD7DF6"/>
    <w:rsid w:val="00BE5D54"/>
    <w:rsid w:val="00BF095A"/>
    <w:rsid w:val="00BF4207"/>
    <w:rsid w:val="00BF608C"/>
    <w:rsid w:val="00C01D00"/>
    <w:rsid w:val="00C04A92"/>
    <w:rsid w:val="00C16537"/>
    <w:rsid w:val="00C2244A"/>
    <w:rsid w:val="00C227C7"/>
    <w:rsid w:val="00C41B23"/>
    <w:rsid w:val="00C61074"/>
    <w:rsid w:val="00C66985"/>
    <w:rsid w:val="00C84B33"/>
    <w:rsid w:val="00C97BFB"/>
    <w:rsid w:val="00CA222A"/>
    <w:rsid w:val="00CA4B64"/>
    <w:rsid w:val="00CB06E9"/>
    <w:rsid w:val="00CB5094"/>
    <w:rsid w:val="00CE28E2"/>
    <w:rsid w:val="00CE4AFC"/>
    <w:rsid w:val="00CF132F"/>
    <w:rsid w:val="00CF14F1"/>
    <w:rsid w:val="00D00C87"/>
    <w:rsid w:val="00D13780"/>
    <w:rsid w:val="00D20D03"/>
    <w:rsid w:val="00D23588"/>
    <w:rsid w:val="00D2482B"/>
    <w:rsid w:val="00D302DE"/>
    <w:rsid w:val="00D31EC4"/>
    <w:rsid w:val="00D33503"/>
    <w:rsid w:val="00D42C25"/>
    <w:rsid w:val="00D57EA9"/>
    <w:rsid w:val="00D6076E"/>
    <w:rsid w:val="00D656EB"/>
    <w:rsid w:val="00D66B25"/>
    <w:rsid w:val="00D70C38"/>
    <w:rsid w:val="00DA5573"/>
    <w:rsid w:val="00DA5E15"/>
    <w:rsid w:val="00DA6FCA"/>
    <w:rsid w:val="00DB1CDB"/>
    <w:rsid w:val="00DC091E"/>
    <w:rsid w:val="00DC0CC1"/>
    <w:rsid w:val="00DC128C"/>
    <w:rsid w:val="00DC46DC"/>
    <w:rsid w:val="00DC6B3E"/>
    <w:rsid w:val="00DD2E2F"/>
    <w:rsid w:val="00DD5851"/>
    <w:rsid w:val="00DE12C3"/>
    <w:rsid w:val="00DE7FB4"/>
    <w:rsid w:val="00DF00B4"/>
    <w:rsid w:val="00DF78DB"/>
    <w:rsid w:val="00E02E66"/>
    <w:rsid w:val="00E056D6"/>
    <w:rsid w:val="00E0683D"/>
    <w:rsid w:val="00E113FB"/>
    <w:rsid w:val="00E15A3C"/>
    <w:rsid w:val="00E17D91"/>
    <w:rsid w:val="00E21C21"/>
    <w:rsid w:val="00E234E0"/>
    <w:rsid w:val="00E27673"/>
    <w:rsid w:val="00E35AFB"/>
    <w:rsid w:val="00E41BC9"/>
    <w:rsid w:val="00E4299C"/>
    <w:rsid w:val="00E51DA8"/>
    <w:rsid w:val="00E552B8"/>
    <w:rsid w:val="00E57B13"/>
    <w:rsid w:val="00E60156"/>
    <w:rsid w:val="00E67F06"/>
    <w:rsid w:val="00E70F0E"/>
    <w:rsid w:val="00E730B7"/>
    <w:rsid w:val="00E924E9"/>
    <w:rsid w:val="00E97C77"/>
    <w:rsid w:val="00EA6282"/>
    <w:rsid w:val="00EA74F3"/>
    <w:rsid w:val="00EB2844"/>
    <w:rsid w:val="00EB2856"/>
    <w:rsid w:val="00EC1AB5"/>
    <w:rsid w:val="00EC2582"/>
    <w:rsid w:val="00EC3864"/>
    <w:rsid w:val="00ED0D4D"/>
    <w:rsid w:val="00ED2D15"/>
    <w:rsid w:val="00ED574B"/>
    <w:rsid w:val="00ED7319"/>
    <w:rsid w:val="00EF27EB"/>
    <w:rsid w:val="00EF2944"/>
    <w:rsid w:val="00EF46C1"/>
    <w:rsid w:val="00EF5388"/>
    <w:rsid w:val="00F21000"/>
    <w:rsid w:val="00F2412C"/>
    <w:rsid w:val="00F31108"/>
    <w:rsid w:val="00F33688"/>
    <w:rsid w:val="00F3678B"/>
    <w:rsid w:val="00F37FD0"/>
    <w:rsid w:val="00F421BA"/>
    <w:rsid w:val="00F425C3"/>
    <w:rsid w:val="00F51DE8"/>
    <w:rsid w:val="00F52209"/>
    <w:rsid w:val="00F52AD5"/>
    <w:rsid w:val="00F5364F"/>
    <w:rsid w:val="00F5514D"/>
    <w:rsid w:val="00F62C16"/>
    <w:rsid w:val="00F63592"/>
    <w:rsid w:val="00F77CBA"/>
    <w:rsid w:val="00F83870"/>
    <w:rsid w:val="00F93D47"/>
    <w:rsid w:val="00F93F32"/>
    <w:rsid w:val="00F96430"/>
    <w:rsid w:val="00FA003C"/>
    <w:rsid w:val="00FA1B48"/>
    <w:rsid w:val="00FA20EF"/>
    <w:rsid w:val="00FA22C6"/>
    <w:rsid w:val="00FA6B1A"/>
    <w:rsid w:val="00FB236B"/>
    <w:rsid w:val="00FB469C"/>
    <w:rsid w:val="00FB6E48"/>
    <w:rsid w:val="00FC33A0"/>
    <w:rsid w:val="00FC341F"/>
    <w:rsid w:val="00FC416E"/>
    <w:rsid w:val="00FC6BD7"/>
    <w:rsid w:val="00FE72A7"/>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D56B"/>
  <w15:chartTrackingRefBased/>
  <w15:docId w15:val="{F5C7778C-9681-4983-93FE-33CF60F1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A1E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1E04"/>
  </w:style>
  <w:style w:type="paragraph" w:styleId="Sidefod">
    <w:name w:val="footer"/>
    <w:basedOn w:val="Normal"/>
    <w:link w:val="SidefodTegn"/>
    <w:uiPriority w:val="99"/>
    <w:unhideWhenUsed/>
    <w:rsid w:val="004A1E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1E04"/>
  </w:style>
  <w:style w:type="paragraph" w:styleId="Listeafsnit">
    <w:name w:val="List Paragraph"/>
    <w:basedOn w:val="Normal"/>
    <w:uiPriority w:val="34"/>
    <w:qFormat/>
    <w:rsid w:val="00565AFF"/>
    <w:pPr>
      <w:ind w:left="720"/>
      <w:contextualSpacing/>
    </w:pPr>
  </w:style>
  <w:style w:type="table" w:styleId="Tabel-Gitter">
    <w:name w:val="Table Grid"/>
    <w:basedOn w:val="Tabel-Normal"/>
    <w:uiPriority w:val="39"/>
    <w:rsid w:val="0011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633FCF"/>
    <w:pPr>
      <w:spacing w:after="240" w:line="240" w:lineRule="auto"/>
      <w:ind w:left="720" w:hanging="720"/>
    </w:pPr>
    <w:rPr>
      <w:lang w:val="da-DK"/>
    </w:rPr>
  </w:style>
  <w:style w:type="character" w:styleId="Kommentarhenvisning">
    <w:name w:val="annotation reference"/>
    <w:basedOn w:val="Standardskrifttypeiafsnit"/>
    <w:uiPriority w:val="99"/>
    <w:semiHidden/>
    <w:unhideWhenUsed/>
    <w:rsid w:val="0034005D"/>
    <w:rPr>
      <w:sz w:val="16"/>
      <w:szCs w:val="16"/>
    </w:rPr>
  </w:style>
  <w:style w:type="paragraph" w:styleId="Kommentartekst">
    <w:name w:val="annotation text"/>
    <w:basedOn w:val="Normal"/>
    <w:link w:val="KommentartekstTegn"/>
    <w:uiPriority w:val="99"/>
    <w:semiHidden/>
    <w:unhideWhenUsed/>
    <w:rsid w:val="003400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005D"/>
    <w:rPr>
      <w:sz w:val="20"/>
      <w:szCs w:val="20"/>
    </w:rPr>
  </w:style>
  <w:style w:type="paragraph" w:styleId="Kommentaremne">
    <w:name w:val="annotation subject"/>
    <w:basedOn w:val="Kommentartekst"/>
    <w:next w:val="Kommentartekst"/>
    <w:link w:val="KommentaremneTegn"/>
    <w:uiPriority w:val="99"/>
    <w:semiHidden/>
    <w:unhideWhenUsed/>
    <w:rsid w:val="0034005D"/>
    <w:rPr>
      <w:b/>
      <w:bCs/>
    </w:rPr>
  </w:style>
  <w:style w:type="character" w:customStyle="1" w:styleId="KommentaremneTegn">
    <w:name w:val="Kommentaremne Tegn"/>
    <w:basedOn w:val="KommentartekstTegn"/>
    <w:link w:val="Kommentaremne"/>
    <w:uiPriority w:val="99"/>
    <w:semiHidden/>
    <w:rsid w:val="0034005D"/>
    <w:rPr>
      <w:b/>
      <w:bCs/>
      <w:sz w:val="20"/>
      <w:szCs w:val="20"/>
    </w:rPr>
  </w:style>
  <w:style w:type="paragraph" w:styleId="Markeringsbobletekst">
    <w:name w:val="Balloon Text"/>
    <w:basedOn w:val="Normal"/>
    <w:link w:val="MarkeringsbobletekstTegn"/>
    <w:uiPriority w:val="99"/>
    <w:semiHidden/>
    <w:unhideWhenUsed/>
    <w:rsid w:val="0034005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005D"/>
    <w:rPr>
      <w:rFonts w:ascii="Segoe UI" w:hAnsi="Segoe UI" w:cs="Segoe UI"/>
      <w:sz w:val="18"/>
      <w:szCs w:val="18"/>
    </w:rPr>
  </w:style>
  <w:style w:type="character" w:styleId="Hyperlink">
    <w:name w:val="Hyperlink"/>
    <w:basedOn w:val="Standardskrifttypeiafsnit"/>
    <w:uiPriority w:val="99"/>
    <w:unhideWhenUsed/>
    <w:rsid w:val="005E0416"/>
    <w:rPr>
      <w:color w:val="0563C1" w:themeColor="hyperlink"/>
      <w:u w:val="single"/>
    </w:rPr>
  </w:style>
  <w:style w:type="paragraph" w:styleId="Ingenafstand">
    <w:name w:val="No Spacing"/>
    <w:uiPriority w:val="1"/>
    <w:qFormat/>
    <w:rsid w:val="00D66B25"/>
    <w:pPr>
      <w:spacing w:after="0" w:line="240" w:lineRule="auto"/>
    </w:pPr>
  </w:style>
  <w:style w:type="paragraph" w:styleId="Korrektur">
    <w:name w:val="Revision"/>
    <w:hidden/>
    <w:uiPriority w:val="99"/>
    <w:semiHidden/>
    <w:rsid w:val="00D66B25"/>
    <w:pPr>
      <w:spacing w:after="0" w:line="240" w:lineRule="auto"/>
    </w:pPr>
  </w:style>
  <w:style w:type="paragraph" w:styleId="Almindeligtekst">
    <w:name w:val="Plain Text"/>
    <w:basedOn w:val="Normal"/>
    <w:link w:val="AlmindeligtekstTegn"/>
    <w:uiPriority w:val="99"/>
    <w:semiHidden/>
    <w:unhideWhenUsed/>
    <w:rsid w:val="001F12F6"/>
    <w:pPr>
      <w:spacing w:after="0" w:line="240" w:lineRule="auto"/>
    </w:pPr>
    <w:rPr>
      <w:rFonts w:ascii="Calibri" w:hAnsi="Calibri"/>
      <w:szCs w:val="21"/>
      <w:lang w:val="da-DK"/>
    </w:rPr>
  </w:style>
  <w:style w:type="character" w:customStyle="1" w:styleId="AlmindeligtekstTegn">
    <w:name w:val="Almindelig tekst Tegn"/>
    <w:basedOn w:val="Standardskrifttypeiafsnit"/>
    <w:link w:val="Almindeligtekst"/>
    <w:uiPriority w:val="99"/>
    <w:semiHidden/>
    <w:rsid w:val="001F12F6"/>
    <w:rPr>
      <w:rFonts w:ascii="Calibri" w:hAnsi="Calibri"/>
      <w:szCs w:val="21"/>
      <w:lang w:val="da-DK"/>
    </w:rPr>
  </w:style>
  <w:style w:type="paragraph" w:styleId="Slutnotetekst">
    <w:name w:val="endnote text"/>
    <w:basedOn w:val="Normal"/>
    <w:link w:val="SlutnotetekstTegn"/>
    <w:uiPriority w:val="99"/>
    <w:semiHidden/>
    <w:unhideWhenUsed/>
    <w:rsid w:val="00370DB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70DB7"/>
    <w:rPr>
      <w:sz w:val="20"/>
      <w:szCs w:val="20"/>
    </w:rPr>
  </w:style>
  <w:style w:type="character" w:styleId="Slutnotehenvisning">
    <w:name w:val="endnote reference"/>
    <w:basedOn w:val="Standardskrifttypeiafsnit"/>
    <w:uiPriority w:val="99"/>
    <w:semiHidden/>
    <w:unhideWhenUsed/>
    <w:rsid w:val="0037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4324">
      <w:bodyDiv w:val="1"/>
      <w:marLeft w:val="0"/>
      <w:marRight w:val="0"/>
      <w:marTop w:val="0"/>
      <w:marBottom w:val="0"/>
      <w:divBdr>
        <w:top w:val="none" w:sz="0" w:space="0" w:color="auto"/>
        <w:left w:val="none" w:sz="0" w:space="0" w:color="auto"/>
        <w:bottom w:val="none" w:sz="0" w:space="0" w:color="auto"/>
        <w:right w:val="none" w:sz="0" w:space="0" w:color="auto"/>
      </w:divBdr>
    </w:div>
    <w:div w:id="20614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01763.2019.1599041" TargetMode="Externa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seeberg@ps.au.dk" TargetMode="External"/><Relationship Id="rId2" Type="http://schemas.openxmlformats.org/officeDocument/2006/relationships/numbering" Target="numbering.xml"/><Relationship Id="rId16" Type="http://schemas.openxmlformats.org/officeDocument/2006/relationships/hyperlink" Target="mailto:carstenj@ps.au.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tenj@ps.au.d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h.seeberg@ps.au.dk"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carstenj@ps.au.dk"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u194671\Dropbox%20(Dept%20of%20Pol%20Science)\Henrik%20&amp;%20Carsten\REACH\data,%2013sept2016\Policy-forandringer,%20oversigt,%2019sept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37972611676443E-2"/>
          <c:y val="4.330916968712243E-2"/>
          <c:w val="0.85276227727328324"/>
          <c:h val="0.7850506186726659"/>
        </c:manualLayout>
      </c:layout>
      <c:barChart>
        <c:barDir val="col"/>
        <c:grouping val="clustered"/>
        <c:varyColors val="0"/>
        <c:ser>
          <c:idx val="0"/>
          <c:order val="0"/>
          <c:tx>
            <c:strRef>
              <c:f>'Ark1'!$F$2:$F$3</c:f>
              <c:strCache>
                <c:ptCount val="2"/>
                <c:pt idx="0">
                  <c:v>Alcohol</c:v>
                </c:pt>
                <c:pt idx="1">
                  <c:v>Restriction</c:v>
                </c:pt>
              </c:strCache>
            </c:strRef>
          </c:tx>
          <c:spPr>
            <a:solidFill>
              <a:schemeClr val="tx1"/>
            </a:solidFill>
          </c:spPr>
          <c:invertIfNegative val="0"/>
          <c:cat>
            <c:numRef>
              <c:f>'Ark1'!$A$4:$A$28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'Ark1'!$F$4:$F$28</c:f>
              <c:numCache>
                <c:formatCode>General</c:formatCode>
                <c:ptCount val="25"/>
                <c:pt idx="14">
                  <c:v>1</c:v>
                </c:pt>
                <c:pt idx="15">
                  <c:v>2</c:v>
                </c:pt>
                <c:pt idx="16">
                  <c:v>1</c:v>
                </c:pt>
                <c:pt idx="17">
                  <c:v>1</c:v>
                </c:pt>
                <c:pt idx="20">
                  <c:v>3</c:v>
                </c:pt>
                <c:pt idx="21">
                  <c:v>1</c:v>
                </c:pt>
                <c:pt idx="22">
                  <c:v>1</c:v>
                </c:pt>
                <c:pt idx="23">
                  <c:v>2</c:v>
                </c:pt>
              </c:numCache>
            </c:numRef>
          </c:val>
          <c:extLst>
            <c:ext xmlns:c16="http://schemas.microsoft.com/office/drawing/2014/chart" uri="{C3380CC4-5D6E-409C-BE32-E72D297353CC}">
              <c16:uniqueId val="{00000000-4851-4FFC-AD2D-21E483F100E9}"/>
            </c:ext>
          </c:extLst>
        </c:ser>
        <c:ser>
          <c:idx val="1"/>
          <c:order val="1"/>
          <c:tx>
            <c:strRef>
              <c:f>'Ark1'!$G$2:$G$3</c:f>
              <c:strCache>
                <c:ptCount val="2"/>
                <c:pt idx="0">
                  <c:v>Alcohol</c:v>
                </c:pt>
                <c:pt idx="1">
                  <c:v>Liberalization</c:v>
                </c:pt>
              </c:strCache>
            </c:strRef>
          </c:tx>
          <c:spPr>
            <a:solidFill>
              <a:schemeClr val="bg1">
                <a:lumMod val="75000"/>
              </a:schemeClr>
            </a:solidFill>
          </c:spPr>
          <c:invertIfNegative val="0"/>
          <c:cat>
            <c:numRef>
              <c:f>'Ark1'!$A$4:$A$28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'Ark1'!$G$4:$G$28</c:f>
              <c:numCache>
                <c:formatCode>General</c:formatCode>
                <c:ptCount val="25"/>
                <c:pt idx="10">
                  <c:v>1</c:v>
                </c:pt>
                <c:pt idx="14">
                  <c:v>2</c:v>
                </c:pt>
                <c:pt idx="15">
                  <c:v>1</c:v>
                </c:pt>
                <c:pt idx="16">
                  <c:v>2</c:v>
                </c:pt>
                <c:pt idx="17">
                  <c:v>1</c:v>
                </c:pt>
              </c:numCache>
            </c:numRef>
          </c:val>
          <c:extLst>
            <c:ext xmlns:c16="http://schemas.microsoft.com/office/drawing/2014/chart" uri="{C3380CC4-5D6E-409C-BE32-E72D297353CC}">
              <c16:uniqueId val="{00000001-4851-4FFC-AD2D-21E483F100E9}"/>
            </c:ext>
          </c:extLst>
        </c:ser>
        <c:dLbls>
          <c:showLegendKey val="0"/>
          <c:showVal val="0"/>
          <c:showCatName val="0"/>
          <c:showSerName val="0"/>
          <c:showPercent val="0"/>
          <c:showBubbleSize val="0"/>
        </c:dLbls>
        <c:gapWidth val="150"/>
        <c:axId val="260272896"/>
        <c:axId val="263605480"/>
      </c:barChart>
      <c:catAx>
        <c:axId val="260272896"/>
        <c:scaling>
          <c:orientation val="minMax"/>
        </c:scaling>
        <c:delete val="0"/>
        <c:axPos val="b"/>
        <c:numFmt formatCode="General" sourceLinked="1"/>
        <c:majorTickMark val="out"/>
        <c:minorTickMark val="none"/>
        <c:tickLblPos val="nextTo"/>
        <c:crossAx val="263605480"/>
        <c:crosses val="autoZero"/>
        <c:auto val="1"/>
        <c:lblAlgn val="ctr"/>
        <c:lblOffset val="100"/>
        <c:noMultiLvlLbl val="0"/>
      </c:catAx>
      <c:valAx>
        <c:axId val="263605480"/>
        <c:scaling>
          <c:orientation val="minMax"/>
          <c:max val="4"/>
        </c:scaling>
        <c:delete val="0"/>
        <c:axPos val="l"/>
        <c:numFmt formatCode="General" sourceLinked="1"/>
        <c:majorTickMark val="out"/>
        <c:minorTickMark val="none"/>
        <c:tickLblPos val="nextTo"/>
        <c:crossAx val="260272896"/>
        <c:crosses val="autoZero"/>
        <c:crossBetween val="between"/>
        <c:majorUnit val="1"/>
      </c:valAx>
    </c:plotArea>
    <c:legend>
      <c:legendPos val="t"/>
      <c:layout>
        <c:manualLayout>
          <c:xMode val="edge"/>
          <c:yMode val="edge"/>
          <c:x val="9.623446956238095E-2"/>
          <c:y val="5.2910052910052907E-2"/>
          <c:w val="0.89999978156909111"/>
          <c:h val="9.5676790401199849E-2"/>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da-DK"/>
    </a:p>
  </c:txPr>
  <c:externalData r:id="rId1">
    <c:autoUpdate val="0"/>
  </c:externalData>
</c:chartSpac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BDA7-5540-4171-9463-1F587ED6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7756</Words>
  <Characters>47316</Characters>
  <Application>Microsoft Office Word</Application>
  <DocSecurity>0</DocSecurity>
  <Lines>394</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Jensen</dc:creator>
  <cp:keywords/>
  <dc:description/>
  <cp:lastModifiedBy>Henrik Bech Seeberg</cp:lastModifiedBy>
  <cp:revision>4</cp:revision>
  <cp:lastPrinted>2019-08-07T07:57:00Z</cp:lastPrinted>
  <dcterms:created xsi:type="dcterms:W3CDTF">2019-08-19T07:47:00Z</dcterms:created>
  <dcterms:modified xsi:type="dcterms:W3CDTF">2019-12-26T10:02:00Z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id="bvzKHMFT"/&gt;&lt;style id="http://www.zotero.org/styles/west-european-politics"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value="true"/&gt;&lt;/prefs&gt;&lt;/data&gt;</vt:lpwstr>
  </property>
</Properties>
</file>